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F" w:rsidRDefault="007C48E5" w:rsidP="007C48E5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48E5">
        <w:rPr>
          <w:rFonts w:ascii="Times New Roman" w:hAnsi="Times New Roman" w:cs="Times New Roman"/>
          <w:b/>
          <w:sz w:val="32"/>
          <w:szCs w:val="24"/>
        </w:rPr>
        <w:t>HODNOTENIE DOPADOV REVITALIZAČNÝCH OPATRENÍ</w:t>
      </w:r>
    </w:p>
    <w:p w:rsidR="002B02BE" w:rsidRPr="0081666B" w:rsidRDefault="002B02BE" w:rsidP="00581330">
      <w:pPr>
        <w:shd w:val="clear" w:color="auto" w:fill="D9D9D9" w:themeFill="background1" w:themeFillShade="D9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50A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Prieskum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CRVS</w:t>
      </w:r>
    </w:p>
    <w:p w:rsidR="005E3E2F" w:rsidRDefault="005E3E2F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A0">
        <w:rPr>
          <w:rFonts w:ascii="Times New Roman" w:hAnsi="Times New Roman" w:cs="Times New Roman"/>
          <w:sz w:val="24"/>
          <w:szCs w:val="24"/>
        </w:rPr>
        <w:t xml:space="preserve">Centrum pre rozvoj verejnej správy (CRVS) </w:t>
      </w:r>
      <w:r w:rsidR="007C48E5">
        <w:rPr>
          <w:rFonts w:ascii="Times New Roman" w:hAnsi="Times New Roman" w:cs="Times New Roman"/>
          <w:sz w:val="24"/>
          <w:szCs w:val="24"/>
        </w:rPr>
        <w:t xml:space="preserve">uskutočnilo </w:t>
      </w:r>
      <w:r w:rsidRPr="00AF0FA0">
        <w:rPr>
          <w:rFonts w:ascii="Times New Roman" w:hAnsi="Times New Roman" w:cs="Times New Roman"/>
          <w:sz w:val="24"/>
          <w:szCs w:val="24"/>
        </w:rPr>
        <w:t>prieskum, ktorého cieľom bolo konkretizovať a špecifikovať dopady revitalizačných opatrení s dlhším časovým odstupom. Dotazníkový prieskum s 28 otázkami bol zrealizovaný medzi starostami/primátormi</w:t>
      </w:r>
      <w:r>
        <w:rPr>
          <w:rFonts w:ascii="Times New Roman" w:hAnsi="Times New Roman" w:cs="Times New Roman"/>
          <w:sz w:val="24"/>
          <w:szCs w:val="24"/>
        </w:rPr>
        <w:t xml:space="preserve"> 485</w:t>
      </w:r>
      <w:r w:rsidRPr="00AF0FA0">
        <w:rPr>
          <w:rFonts w:ascii="Times New Roman" w:hAnsi="Times New Roman" w:cs="Times New Roman"/>
          <w:sz w:val="24"/>
          <w:szCs w:val="24"/>
        </w:rPr>
        <w:t xml:space="preserve"> obcí/miest</w:t>
      </w:r>
      <w:r>
        <w:rPr>
          <w:rFonts w:ascii="Times New Roman" w:hAnsi="Times New Roman" w:cs="Times New Roman"/>
          <w:sz w:val="24"/>
          <w:szCs w:val="24"/>
        </w:rPr>
        <w:t xml:space="preserve"> zapojených do P</w:t>
      </w:r>
      <w:r w:rsidRPr="00AF0FA0">
        <w:rPr>
          <w:rFonts w:ascii="Times New Roman" w:hAnsi="Times New Roman" w:cs="Times New Roman"/>
          <w:sz w:val="24"/>
          <w:szCs w:val="24"/>
        </w:rPr>
        <w:t>rogramu revitalizácie a integrovaného manažmentu povodí SR v čase 9.12.2013 - 10.1.2014. CRVS získalo od starostov obcí</w:t>
      </w:r>
      <w:r>
        <w:rPr>
          <w:rFonts w:ascii="Times New Roman" w:hAnsi="Times New Roman" w:cs="Times New Roman"/>
          <w:sz w:val="24"/>
          <w:szCs w:val="24"/>
        </w:rPr>
        <w:t xml:space="preserve"> 261</w:t>
      </w:r>
      <w:r w:rsidR="00CD5F2E">
        <w:rPr>
          <w:rFonts w:ascii="Times New Roman" w:hAnsi="Times New Roman" w:cs="Times New Roman"/>
          <w:sz w:val="24"/>
          <w:szCs w:val="24"/>
        </w:rPr>
        <w:t xml:space="preserve"> </w:t>
      </w:r>
      <w:r w:rsidRPr="00AF0FA0">
        <w:rPr>
          <w:rFonts w:ascii="Times New Roman" w:hAnsi="Times New Roman" w:cs="Times New Roman"/>
          <w:sz w:val="24"/>
          <w:szCs w:val="24"/>
        </w:rPr>
        <w:t>odpovedí, čo predstavuje 54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AF0FA0">
        <w:rPr>
          <w:rFonts w:ascii="Times New Roman" w:hAnsi="Times New Roman" w:cs="Times New Roman"/>
          <w:sz w:val="24"/>
          <w:szCs w:val="24"/>
        </w:rPr>
        <w:t xml:space="preserve"> návratnosť. Ambíciou bolo zozbierať a vyhodnotiť konkrétne dáta o dopade revitalizačných opatrení na výskyt a priebeh povodní, riziko sucha, sociálno-ekonomických dopadov, biodiverzitu, prínos v nemateriálnej oblasti, ako aj dáta o údržbe a rozvoji revitalizačných opatrení na úrovni obcí.</w:t>
      </w:r>
    </w:p>
    <w:p w:rsidR="00777E17" w:rsidRPr="00AF0FA0" w:rsidRDefault="005E3E2F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Prieskum sa uskutočnil v nadväznosti na </w:t>
      </w:r>
      <w:r w:rsidR="002B02BE" w:rsidRPr="00AF0FA0">
        <w:rPr>
          <w:rFonts w:ascii="Times New Roman" w:hAnsi="Times New Roman" w:cs="Times New Roman"/>
          <w:sz w:val="24"/>
          <w:szCs w:val="24"/>
        </w:rPr>
        <w:t>úsilie Nadácie na podporu občianskych aktivít (NPOA)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 </w:t>
      </w:r>
      <w:r w:rsidR="002B02BE" w:rsidRPr="00AF0FA0">
        <w:rPr>
          <w:rFonts w:ascii="Times New Roman" w:hAnsi="Times New Roman" w:cs="Times New Roman"/>
          <w:sz w:val="24"/>
          <w:szCs w:val="24"/>
        </w:rPr>
        <w:t xml:space="preserve">zhodnotiť prínos </w:t>
      </w:r>
      <w:r w:rsidR="002B02BE" w:rsidRPr="00AF0FA0">
        <w:rPr>
          <w:rFonts w:ascii="Times New Roman" w:hAnsi="Times New Roman" w:cs="Times New Roman"/>
          <w:i/>
          <w:iCs/>
          <w:sz w:val="24"/>
          <w:szCs w:val="24"/>
        </w:rPr>
        <w:t>Programu revitalizácie krajiny</w:t>
      </w:r>
      <w:r w:rsidR="007E46D5" w:rsidRPr="00AF0FA0">
        <w:rPr>
          <w:rFonts w:ascii="Times New Roman" w:hAnsi="Times New Roman" w:cs="Times New Roman"/>
          <w:i/>
          <w:iCs/>
          <w:sz w:val="24"/>
          <w:szCs w:val="24"/>
        </w:rPr>
        <w:t xml:space="preserve"> a integrovaného manažmentu povodí SR </w:t>
      </w:r>
      <w:r w:rsidR="007E46D5" w:rsidRPr="00AF0FA0">
        <w:rPr>
          <w:rFonts w:ascii="Times New Roman" w:hAnsi="Times New Roman" w:cs="Times New Roman"/>
          <w:iCs/>
          <w:sz w:val="24"/>
          <w:szCs w:val="24"/>
        </w:rPr>
        <w:t>realizovaný v rokoch 2010-2012</w:t>
      </w:r>
      <w:r w:rsidR="00486964">
        <w:rPr>
          <w:rFonts w:ascii="Times New Roman" w:hAnsi="Times New Roman" w:cs="Times New Roman"/>
          <w:iCs/>
          <w:sz w:val="24"/>
          <w:szCs w:val="24"/>
        </w:rPr>
        <w:t xml:space="preserve"> (ďalej len „Program“</w:t>
      </w:r>
      <w:r w:rsidR="00486964" w:rsidRPr="00486964">
        <w:rPr>
          <w:rFonts w:ascii="Times New Roman" w:hAnsi="Times New Roman" w:cs="Times New Roman"/>
          <w:iCs/>
          <w:sz w:val="24"/>
          <w:szCs w:val="24"/>
        </w:rPr>
        <w:t>)</w:t>
      </w:r>
      <w:r w:rsidR="004869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7E17" w:rsidRPr="00AF0FA0">
        <w:rPr>
          <w:rFonts w:ascii="Times New Roman" w:hAnsi="Times New Roman" w:cs="Times New Roman"/>
          <w:iCs/>
          <w:sz w:val="24"/>
          <w:szCs w:val="24"/>
        </w:rPr>
        <w:t xml:space="preserve">prostredníctvom </w:t>
      </w:r>
      <w:r w:rsidR="00774372" w:rsidRPr="00AF0FA0">
        <w:rPr>
          <w:rFonts w:ascii="Times New Roman" w:hAnsi="Times New Roman" w:cs="Times New Roman"/>
          <w:sz w:val="24"/>
          <w:szCs w:val="24"/>
        </w:rPr>
        <w:t>prieskum</w:t>
      </w:r>
      <w:r w:rsidR="00777E17" w:rsidRPr="00AF0FA0">
        <w:rPr>
          <w:rFonts w:ascii="Times New Roman" w:hAnsi="Times New Roman" w:cs="Times New Roman"/>
          <w:sz w:val="24"/>
          <w:szCs w:val="24"/>
        </w:rPr>
        <w:t>u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 medzi starostami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 cieľových obcí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. 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Výsledky </w:t>
      </w:r>
      <w:r w:rsidR="005C48B1">
        <w:rPr>
          <w:rFonts w:ascii="Times New Roman" w:hAnsi="Times New Roman" w:cs="Times New Roman"/>
          <w:sz w:val="24"/>
          <w:szCs w:val="24"/>
        </w:rPr>
        <w:t xml:space="preserve">minuloročného </w:t>
      </w:r>
      <w:r w:rsidR="00777E17" w:rsidRPr="00AF0FA0">
        <w:rPr>
          <w:rFonts w:ascii="Times New Roman" w:hAnsi="Times New Roman" w:cs="Times New Roman"/>
          <w:sz w:val="24"/>
          <w:szCs w:val="24"/>
        </w:rPr>
        <w:t>p</w:t>
      </w:r>
      <w:r w:rsidR="00774372" w:rsidRPr="00AF0FA0">
        <w:rPr>
          <w:rFonts w:ascii="Times New Roman" w:hAnsi="Times New Roman" w:cs="Times New Roman"/>
          <w:sz w:val="24"/>
          <w:szCs w:val="24"/>
        </w:rPr>
        <w:t>rieskum</w:t>
      </w:r>
      <w:r w:rsidR="00777E17" w:rsidRPr="00AF0FA0">
        <w:rPr>
          <w:rFonts w:ascii="Times New Roman" w:hAnsi="Times New Roman" w:cs="Times New Roman"/>
          <w:sz w:val="24"/>
          <w:szCs w:val="24"/>
        </w:rPr>
        <w:t>u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 </w:t>
      </w:r>
      <w:r w:rsidR="003A074E">
        <w:rPr>
          <w:rFonts w:ascii="Times New Roman" w:hAnsi="Times New Roman" w:cs="Times New Roman"/>
          <w:sz w:val="24"/>
          <w:szCs w:val="24"/>
        </w:rPr>
        <w:t xml:space="preserve">NPOA </w:t>
      </w:r>
      <w:r w:rsidR="00774372" w:rsidRPr="00AF0FA0">
        <w:rPr>
          <w:rFonts w:ascii="Times New Roman" w:hAnsi="Times New Roman" w:cs="Times New Roman"/>
          <w:sz w:val="24"/>
          <w:szCs w:val="24"/>
        </w:rPr>
        <w:t>p</w:t>
      </w:r>
      <w:r w:rsidR="002B02BE" w:rsidRPr="00AF0FA0">
        <w:rPr>
          <w:rFonts w:ascii="Times New Roman" w:hAnsi="Times New Roman" w:cs="Times New Roman"/>
          <w:sz w:val="24"/>
          <w:szCs w:val="24"/>
        </w:rPr>
        <w:t xml:space="preserve">rezentovala pri príležitosti Medzinárodného dňa vody v marci 2013 </w:t>
      </w:r>
      <w:r w:rsidR="00777E17" w:rsidRPr="00AF0FA0">
        <w:rPr>
          <w:rFonts w:ascii="Times New Roman" w:hAnsi="Times New Roman" w:cs="Times New Roman"/>
          <w:sz w:val="24"/>
          <w:szCs w:val="24"/>
        </w:rPr>
        <w:t>na tlačovej konferencii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 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v Košiciach za účasti starostov.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rezentované </w:t>
      </w:r>
      <w:r>
        <w:rPr>
          <w:rFonts w:ascii="Times New Roman" w:hAnsi="Times New Roman" w:cs="Times New Roman"/>
          <w:sz w:val="24"/>
          <w:szCs w:val="24"/>
        </w:rPr>
        <w:t>názory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 starostov </w:t>
      </w:r>
      <w:r>
        <w:rPr>
          <w:rFonts w:ascii="Times New Roman" w:hAnsi="Times New Roman" w:cs="Times New Roman"/>
          <w:sz w:val="24"/>
          <w:szCs w:val="24"/>
        </w:rPr>
        <w:t xml:space="preserve">vtedy </w:t>
      </w:r>
      <w:r w:rsidR="00774372" w:rsidRPr="00AF0FA0">
        <w:rPr>
          <w:rFonts w:ascii="Times New Roman" w:hAnsi="Times New Roman" w:cs="Times New Roman"/>
          <w:sz w:val="24"/>
          <w:szCs w:val="24"/>
        </w:rPr>
        <w:t xml:space="preserve">potvrdili jednoznačný záujem a potrebu obcí v budovaní </w:t>
      </w:r>
      <w:r w:rsidR="00777E17" w:rsidRPr="00AF0FA0">
        <w:rPr>
          <w:rFonts w:ascii="Times New Roman" w:hAnsi="Times New Roman" w:cs="Times New Roman"/>
          <w:sz w:val="24"/>
          <w:szCs w:val="24"/>
        </w:rPr>
        <w:t xml:space="preserve">revitalizačných </w:t>
      </w:r>
      <w:r w:rsidR="00774372" w:rsidRPr="00AF0FA0">
        <w:rPr>
          <w:rFonts w:ascii="Times New Roman" w:hAnsi="Times New Roman" w:cs="Times New Roman"/>
          <w:sz w:val="24"/>
          <w:szCs w:val="24"/>
        </w:rPr>
        <w:t>opatrení pokračovať</w:t>
      </w:r>
      <w:r w:rsidR="003A074E">
        <w:rPr>
          <w:rStyle w:val="Odkaznapoznmkupodiarou"/>
        </w:rPr>
        <w:footnoteReference w:id="1"/>
      </w:r>
      <w:r w:rsidR="007C48E5">
        <w:rPr>
          <w:rFonts w:ascii="Times New Roman" w:hAnsi="Times New Roman" w:cs="Times New Roman"/>
          <w:sz w:val="24"/>
          <w:szCs w:val="24"/>
        </w:rPr>
        <w:t>.</w:t>
      </w:r>
    </w:p>
    <w:p w:rsidR="003819ED" w:rsidRPr="0094550A" w:rsidRDefault="003819ED" w:rsidP="00581330">
      <w:pPr>
        <w:shd w:val="clear" w:color="auto" w:fill="D9D9D9" w:themeFill="background1" w:themeFillShade="D9"/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4550A">
        <w:rPr>
          <w:rFonts w:ascii="Times New Roman" w:hAnsi="Times New Roman" w:cs="Times New Roman"/>
          <w:b/>
          <w:sz w:val="24"/>
          <w:szCs w:val="24"/>
        </w:rPr>
        <w:t>Závery</w:t>
      </w:r>
      <w:r>
        <w:rPr>
          <w:rFonts w:ascii="Times New Roman" w:hAnsi="Times New Roman" w:cs="Times New Roman"/>
          <w:b/>
          <w:sz w:val="24"/>
          <w:szCs w:val="24"/>
        </w:rPr>
        <w:t xml:space="preserve"> prieskumu</w:t>
      </w:r>
    </w:p>
    <w:p w:rsidR="003819ED" w:rsidRPr="0094550A" w:rsidRDefault="001F1D5A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Dva </w:t>
      </w:r>
      <w:r w:rsidR="00EA0AC9">
        <w:rPr>
          <w:rFonts w:ascii="Times New Roman" w:hAnsi="Times New Roman" w:cs="Times New Roman"/>
          <w:sz w:val="24"/>
          <w:szCs w:val="24"/>
        </w:rPr>
        <w:t xml:space="preserve">roky od vybudovania </w:t>
      </w:r>
      <w:r w:rsidR="00AF0FA0">
        <w:rPr>
          <w:rFonts w:ascii="Times New Roman" w:hAnsi="Times New Roman" w:cs="Times New Roman"/>
          <w:sz w:val="24"/>
          <w:szCs w:val="24"/>
        </w:rPr>
        <w:t xml:space="preserve">revitalizačných </w:t>
      </w:r>
      <w:r w:rsidR="00EA0AC9">
        <w:rPr>
          <w:rFonts w:ascii="Times New Roman" w:hAnsi="Times New Roman" w:cs="Times New Roman"/>
          <w:sz w:val="24"/>
          <w:szCs w:val="24"/>
        </w:rPr>
        <w:t xml:space="preserve">opatrení v  obciach </w:t>
      </w:r>
      <w:r w:rsidR="003819ED" w:rsidRPr="0094550A">
        <w:rPr>
          <w:rFonts w:ascii="Times New Roman" w:hAnsi="Times New Roman" w:cs="Times New Roman"/>
          <w:sz w:val="24"/>
          <w:szCs w:val="24"/>
        </w:rPr>
        <w:t xml:space="preserve"> je možné</w:t>
      </w:r>
      <w:r w:rsidR="002D7A5B">
        <w:rPr>
          <w:rFonts w:ascii="Times New Roman" w:hAnsi="Times New Roman" w:cs="Times New Roman"/>
          <w:sz w:val="24"/>
          <w:szCs w:val="24"/>
        </w:rPr>
        <w:t xml:space="preserve"> potvrdiť</w:t>
      </w:r>
      <w:r w:rsidR="003819ED">
        <w:rPr>
          <w:rFonts w:ascii="Times New Roman" w:hAnsi="Times New Roman" w:cs="Times New Roman"/>
          <w:sz w:val="24"/>
          <w:szCs w:val="24"/>
        </w:rPr>
        <w:t>:</w:t>
      </w:r>
    </w:p>
    <w:p w:rsidR="00D4041C" w:rsidRPr="00486964" w:rsidRDefault="00486964" w:rsidP="00486964">
      <w:pPr>
        <w:pStyle w:val="Odsekzoznamu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964">
        <w:rPr>
          <w:rFonts w:ascii="Times New Roman" w:hAnsi="Times New Roman" w:cs="Times New Roman"/>
          <w:b/>
          <w:sz w:val="24"/>
          <w:szCs w:val="24"/>
        </w:rPr>
        <w:t>Viac ako štyri pätiny starostov sa vyslovilo, že revitalizačné opatrenia zmiernili v ich obci priebeh povodňových vĺn, prípadne  povodni zabránili</w:t>
      </w:r>
      <w:r w:rsidRPr="00486964">
        <w:rPr>
          <w:rFonts w:ascii="Times New Roman" w:hAnsi="Times New Roman" w:cs="Times New Roman"/>
          <w:sz w:val="24"/>
          <w:szCs w:val="24"/>
        </w:rPr>
        <w:t xml:space="preserve">. </w:t>
      </w:r>
      <w:r w:rsidR="002D7A5B" w:rsidRPr="00486964">
        <w:rPr>
          <w:rFonts w:ascii="Times New Roman" w:hAnsi="Times New Roman" w:cs="Times New Roman"/>
          <w:sz w:val="24"/>
          <w:szCs w:val="24"/>
        </w:rPr>
        <w:t>Starostov</w:t>
      </w:r>
      <w:r w:rsidR="005E3E2F" w:rsidRPr="00486964">
        <w:rPr>
          <w:rFonts w:ascii="Times New Roman" w:hAnsi="Times New Roman" w:cs="Times New Roman"/>
          <w:sz w:val="24"/>
          <w:szCs w:val="24"/>
        </w:rPr>
        <w:t xml:space="preserve">ia </w:t>
      </w:r>
      <w:r w:rsidR="002D7A5B" w:rsidRPr="00486964">
        <w:rPr>
          <w:rFonts w:ascii="Times New Roman" w:hAnsi="Times New Roman" w:cs="Times New Roman"/>
          <w:sz w:val="24"/>
          <w:szCs w:val="24"/>
        </w:rPr>
        <w:t xml:space="preserve">obcí, v ktorých sa </w:t>
      </w:r>
      <w:r w:rsidR="00EA0AC9" w:rsidRPr="00486964">
        <w:rPr>
          <w:rFonts w:ascii="Times New Roman" w:hAnsi="Times New Roman" w:cs="Times New Roman"/>
          <w:sz w:val="24"/>
          <w:szCs w:val="24"/>
        </w:rPr>
        <w:t xml:space="preserve">opatrenia </w:t>
      </w:r>
      <w:r w:rsidR="002D7A5B" w:rsidRPr="00486964">
        <w:rPr>
          <w:rFonts w:ascii="Times New Roman" w:hAnsi="Times New Roman" w:cs="Times New Roman"/>
          <w:sz w:val="24"/>
          <w:szCs w:val="24"/>
        </w:rPr>
        <w:t>realizoval</w:t>
      </w:r>
      <w:r w:rsidR="00EA0AC9" w:rsidRPr="00486964">
        <w:rPr>
          <w:rFonts w:ascii="Times New Roman" w:hAnsi="Times New Roman" w:cs="Times New Roman"/>
          <w:sz w:val="24"/>
          <w:szCs w:val="24"/>
        </w:rPr>
        <w:t>i</w:t>
      </w:r>
      <w:r w:rsidR="002D7A5B" w:rsidRPr="00486964">
        <w:rPr>
          <w:rFonts w:ascii="Times New Roman" w:hAnsi="Times New Roman" w:cs="Times New Roman"/>
          <w:sz w:val="24"/>
          <w:szCs w:val="24"/>
        </w:rPr>
        <w:t xml:space="preserve">, </w:t>
      </w:r>
      <w:r w:rsidR="00D4041C" w:rsidRPr="00486964">
        <w:rPr>
          <w:rFonts w:ascii="Times New Roman" w:hAnsi="Times New Roman" w:cs="Times New Roman"/>
          <w:sz w:val="24"/>
          <w:szCs w:val="24"/>
        </w:rPr>
        <w:t>uviedli</w:t>
      </w:r>
      <w:r w:rsidR="00A95831" w:rsidRPr="00486964">
        <w:rPr>
          <w:rFonts w:ascii="Times New Roman" w:hAnsi="Times New Roman" w:cs="Times New Roman"/>
          <w:sz w:val="24"/>
          <w:szCs w:val="24"/>
        </w:rPr>
        <w:t xml:space="preserve"> za rok</w:t>
      </w:r>
      <w:r w:rsidR="00D4041C" w:rsidRPr="00486964">
        <w:rPr>
          <w:rFonts w:ascii="Times New Roman" w:hAnsi="Times New Roman" w:cs="Times New Roman"/>
          <w:sz w:val="24"/>
          <w:szCs w:val="24"/>
        </w:rPr>
        <w:t>y</w:t>
      </w:r>
      <w:r w:rsidR="00A95831" w:rsidRPr="00486964">
        <w:rPr>
          <w:rFonts w:ascii="Times New Roman" w:hAnsi="Times New Roman" w:cs="Times New Roman"/>
          <w:sz w:val="24"/>
          <w:szCs w:val="24"/>
        </w:rPr>
        <w:t xml:space="preserve"> </w:t>
      </w:r>
      <w:r w:rsidR="00D4041C" w:rsidRPr="00486964">
        <w:rPr>
          <w:rFonts w:ascii="Times New Roman" w:hAnsi="Times New Roman" w:cs="Times New Roman"/>
          <w:sz w:val="24"/>
          <w:szCs w:val="24"/>
        </w:rPr>
        <w:t xml:space="preserve">2011, </w:t>
      </w:r>
      <w:r w:rsidR="00A95831" w:rsidRPr="00486964">
        <w:rPr>
          <w:rFonts w:ascii="Times New Roman" w:hAnsi="Times New Roman" w:cs="Times New Roman"/>
          <w:sz w:val="24"/>
          <w:szCs w:val="24"/>
        </w:rPr>
        <w:t xml:space="preserve">2012 a 2013 </w:t>
      </w:r>
      <w:r w:rsidR="00D4041C" w:rsidRPr="00486964">
        <w:rPr>
          <w:rFonts w:ascii="Times New Roman" w:hAnsi="Times New Roman" w:cs="Times New Roman"/>
          <w:sz w:val="24"/>
          <w:szCs w:val="24"/>
        </w:rPr>
        <w:t xml:space="preserve">údaje, ktoré hovoria o poklese </w:t>
      </w:r>
      <w:r w:rsidR="00A95831" w:rsidRPr="00486964">
        <w:rPr>
          <w:rFonts w:ascii="Times New Roman" w:hAnsi="Times New Roman" w:cs="Times New Roman"/>
          <w:sz w:val="24"/>
          <w:szCs w:val="24"/>
        </w:rPr>
        <w:t>počtu</w:t>
      </w:r>
      <w:r w:rsidR="002D7A5B" w:rsidRPr="00486964">
        <w:rPr>
          <w:rFonts w:ascii="Times New Roman" w:hAnsi="Times New Roman" w:cs="Times New Roman"/>
          <w:sz w:val="24"/>
          <w:szCs w:val="24"/>
        </w:rPr>
        <w:t xml:space="preserve"> povodní</w:t>
      </w:r>
      <w:r w:rsidR="00D4041C" w:rsidRPr="00486964">
        <w:rPr>
          <w:rFonts w:ascii="Times New Roman" w:hAnsi="Times New Roman" w:cs="Times New Roman"/>
          <w:sz w:val="24"/>
          <w:szCs w:val="24"/>
        </w:rPr>
        <w:t xml:space="preserve"> v roku 2012 a 2013 oproti roku 2011</w:t>
      </w:r>
      <w:r w:rsidR="00581330" w:rsidRPr="00486964">
        <w:rPr>
          <w:rFonts w:ascii="Times New Roman" w:hAnsi="Times New Roman" w:cs="Times New Roman"/>
          <w:sz w:val="24"/>
          <w:szCs w:val="24"/>
        </w:rPr>
        <w:t>, napriek tomu, že r</w:t>
      </w:r>
      <w:r w:rsidR="00D4041C" w:rsidRPr="00486964">
        <w:rPr>
          <w:rFonts w:ascii="Times New Roman" w:hAnsi="Times New Roman" w:cs="Times New Roman"/>
          <w:sz w:val="24"/>
          <w:szCs w:val="24"/>
        </w:rPr>
        <w:t>ok</w:t>
      </w:r>
      <w:r w:rsidR="002D7A5B" w:rsidRPr="00486964">
        <w:rPr>
          <w:rFonts w:ascii="Times New Roman" w:hAnsi="Times New Roman" w:cs="Times New Roman"/>
          <w:sz w:val="24"/>
          <w:szCs w:val="24"/>
        </w:rPr>
        <w:t xml:space="preserve"> 2011</w:t>
      </w:r>
      <w:r w:rsidR="00AF0FA0" w:rsidRPr="00486964">
        <w:rPr>
          <w:rFonts w:ascii="Times New Roman" w:hAnsi="Times New Roman" w:cs="Times New Roman"/>
          <w:sz w:val="24"/>
          <w:szCs w:val="24"/>
        </w:rPr>
        <w:t xml:space="preserve"> </w:t>
      </w:r>
      <w:r w:rsidR="002D7A5B" w:rsidRPr="00486964">
        <w:rPr>
          <w:rFonts w:ascii="Times New Roman" w:hAnsi="Times New Roman" w:cs="Times New Roman"/>
          <w:sz w:val="24"/>
          <w:szCs w:val="24"/>
        </w:rPr>
        <w:t>bol z daných rokov</w:t>
      </w:r>
      <w:r w:rsidR="002D7A5B" w:rsidRPr="0048696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D7A5B" w:rsidRPr="00486964">
        <w:rPr>
          <w:rFonts w:ascii="Times New Roman" w:hAnsi="Times New Roman" w:cs="Times New Roman"/>
          <w:sz w:val="24"/>
          <w:szCs w:val="24"/>
        </w:rPr>
        <w:t>najsuchší.</w:t>
      </w:r>
    </w:p>
    <w:p w:rsidR="00CE2323" w:rsidRDefault="00581330" w:rsidP="00CE2323">
      <w:pPr>
        <w:pStyle w:val="Odsekzoznamu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964">
        <w:rPr>
          <w:rFonts w:ascii="Times New Roman" w:hAnsi="Times New Roman" w:cs="Times New Roman"/>
          <w:b/>
          <w:sz w:val="24"/>
          <w:szCs w:val="24"/>
        </w:rPr>
        <w:t>V</w:t>
      </w:r>
      <w:r w:rsidR="009C6C10">
        <w:rPr>
          <w:rFonts w:ascii="Times New Roman" w:hAnsi="Times New Roman" w:cs="Times New Roman"/>
          <w:b/>
          <w:sz w:val="24"/>
          <w:szCs w:val="24"/>
        </w:rPr>
        <w:t> </w:t>
      </w:r>
      <w:r w:rsidRPr="00486964">
        <w:rPr>
          <w:rFonts w:ascii="Times New Roman" w:hAnsi="Times New Roman" w:cs="Times New Roman"/>
          <w:b/>
          <w:sz w:val="24"/>
          <w:szCs w:val="24"/>
        </w:rPr>
        <w:t>obciach</w:t>
      </w:r>
      <w:r w:rsidR="009C6C10">
        <w:rPr>
          <w:rFonts w:ascii="Times New Roman" w:hAnsi="Times New Roman" w:cs="Times New Roman"/>
          <w:b/>
          <w:sz w:val="24"/>
          <w:szCs w:val="24"/>
        </w:rPr>
        <w:t>,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kde sa od vybudovania opatrení vyskytli </w:t>
      </w:r>
      <w:r w:rsidR="009C6C10">
        <w:rPr>
          <w:rFonts w:ascii="Times New Roman" w:hAnsi="Times New Roman" w:cs="Times New Roman"/>
          <w:b/>
          <w:sz w:val="24"/>
          <w:szCs w:val="24"/>
        </w:rPr>
        <w:t>nadmerné zrážky,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sa priemerné škody zapríčinené povodňami znížili až o 4/5</w:t>
      </w:r>
      <w:r w:rsidRPr="00486964">
        <w:rPr>
          <w:rFonts w:ascii="Times New Roman" w:hAnsi="Times New Roman" w:cs="Times New Roman"/>
          <w:sz w:val="24"/>
          <w:szCs w:val="24"/>
        </w:rPr>
        <w:t>. Investícia do revitalizačných opatrení by sa tak obciam mohla vrátiť už za 2-3 roky s výdatnými zrážkami.</w:t>
      </w:r>
    </w:p>
    <w:p w:rsidR="00E9205F" w:rsidRPr="00CE2323" w:rsidRDefault="00CE2323" w:rsidP="00CE2323">
      <w:pPr>
        <w:pStyle w:val="Odsekzoznamu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23">
        <w:rPr>
          <w:rFonts w:ascii="Times New Roman" w:hAnsi="Times New Roman" w:cs="Times New Roman"/>
          <w:b/>
          <w:sz w:val="24"/>
          <w:szCs w:val="24"/>
        </w:rPr>
        <w:t xml:space="preserve">Vyše 60% starostov ocenilo pozitívny vplyv na pôdnu </w:t>
      </w:r>
      <w:r>
        <w:rPr>
          <w:rFonts w:ascii="Times New Roman" w:hAnsi="Times New Roman" w:cs="Times New Roman"/>
          <w:b/>
          <w:sz w:val="24"/>
          <w:szCs w:val="24"/>
        </w:rPr>
        <w:t>vlhkosť a zásoby podzemnej vody</w:t>
      </w:r>
      <w:r>
        <w:rPr>
          <w:rFonts w:ascii="Times New Roman" w:hAnsi="Times New Roman" w:cs="Times New Roman"/>
          <w:sz w:val="24"/>
          <w:szCs w:val="24"/>
        </w:rPr>
        <w:t>, čo jasne potvrdilo prínos opatrení pri predchádzaniu vysušovaniu krajiny.</w:t>
      </w:r>
    </w:p>
    <w:p w:rsidR="00572F52" w:rsidRPr="00486964" w:rsidRDefault="00E9205F" w:rsidP="00486964">
      <w:pPr>
        <w:pStyle w:val="Odsekzoznamu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964">
        <w:rPr>
          <w:rFonts w:ascii="Times New Roman" w:hAnsi="Times New Roman" w:cs="Times New Roman"/>
          <w:b/>
          <w:sz w:val="24"/>
          <w:szCs w:val="24"/>
        </w:rPr>
        <w:t>Starostovia v</w:t>
      </w:r>
      <w:r w:rsidR="00EA0AC9" w:rsidRPr="00486964">
        <w:rPr>
          <w:rFonts w:ascii="Times New Roman" w:hAnsi="Times New Roman" w:cs="Times New Roman"/>
          <w:b/>
          <w:sz w:val="24"/>
          <w:szCs w:val="24"/>
        </w:rPr>
        <w:t>o väčšine deklarovali skúsenosť s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pozitívny</w:t>
      </w:r>
      <w:r w:rsidR="004F423D" w:rsidRPr="00486964">
        <w:rPr>
          <w:rFonts w:ascii="Times New Roman" w:hAnsi="Times New Roman" w:cs="Times New Roman"/>
          <w:b/>
          <w:sz w:val="24"/>
          <w:szCs w:val="24"/>
        </w:rPr>
        <w:t>m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vplyv</w:t>
      </w:r>
      <w:r w:rsidR="004F423D" w:rsidRPr="00486964">
        <w:rPr>
          <w:rFonts w:ascii="Times New Roman" w:hAnsi="Times New Roman" w:cs="Times New Roman"/>
          <w:b/>
          <w:sz w:val="24"/>
          <w:szCs w:val="24"/>
        </w:rPr>
        <w:t xml:space="preserve">om 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1C" w:rsidRPr="00486964">
        <w:rPr>
          <w:rFonts w:ascii="Times New Roman" w:hAnsi="Times New Roman" w:cs="Times New Roman"/>
          <w:b/>
          <w:sz w:val="24"/>
          <w:szCs w:val="24"/>
        </w:rPr>
        <w:t xml:space="preserve">revitalizačných </w:t>
      </w:r>
      <w:r w:rsidRPr="00486964">
        <w:rPr>
          <w:rFonts w:ascii="Times New Roman" w:hAnsi="Times New Roman" w:cs="Times New Roman"/>
          <w:b/>
          <w:sz w:val="24"/>
          <w:szCs w:val="24"/>
        </w:rPr>
        <w:t>opatrení</w:t>
      </w:r>
      <w:r w:rsidRPr="00486964">
        <w:rPr>
          <w:rFonts w:ascii="Times New Roman" w:hAnsi="Times New Roman" w:cs="Times New Roman"/>
          <w:sz w:val="24"/>
          <w:szCs w:val="24"/>
        </w:rPr>
        <w:t xml:space="preserve"> v</w:t>
      </w:r>
      <w:r w:rsidR="004F423D" w:rsidRPr="00486964">
        <w:rPr>
          <w:rFonts w:ascii="Times New Roman" w:hAnsi="Times New Roman" w:cs="Times New Roman"/>
          <w:sz w:val="24"/>
          <w:szCs w:val="24"/>
        </w:rPr>
        <w:t> </w:t>
      </w:r>
      <w:r w:rsidRPr="00486964">
        <w:rPr>
          <w:rFonts w:ascii="Times New Roman" w:hAnsi="Times New Roman" w:cs="Times New Roman"/>
          <w:sz w:val="24"/>
          <w:szCs w:val="24"/>
        </w:rPr>
        <w:t xml:space="preserve">hospodárskej </w:t>
      </w:r>
      <w:r w:rsidR="00572F52" w:rsidRPr="00486964">
        <w:rPr>
          <w:rFonts w:ascii="Times New Roman" w:hAnsi="Times New Roman" w:cs="Times New Roman"/>
          <w:sz w:val="24"/>
          <w:szCs w:val="24"/>
        </w:rPr>
        <w:t xml:space="preserve">(napr. </w:t>
      </w:r>
      <w:r w:rsidR="00572F52" w:rsidRPr="00486964">
        <w:rPr>
          <w:rFonts w:ascii="Times New Roman" w:hAnsi="Times New Roman" w:cs="Times New Roman"/>
          <w:bCs/>
          <w:sz w:val="24"/>
          <w:szCs w:val="24"/>
        </w:rPr>
        <w:t>protipožiarne funkcie či</w:t>
      </w:r>
      <w:r w:rsidR="00572F52" w:rsidRPr="00486964">
        <w:rPr>
          <w:rFonts w:ascii="Times New Roman" w:hAnsi="Times New Roman" w:cs="Times New Roman"/>
          <w:sz w:val="24"/>
          <w:szCs w:val="24"/>
        </w:rPr>
        <w:t xml:space="preserve"> rozvoj</w:t>
      </w:r>
      <w:r w:rsidR="00572F52" w:rsidRPr="00486964">
        <w:rPr>
          <w:rFonts w:ascii="Times New Roman" w:hAnsi="Times New Roman" w:cs="Times New Roman"/>
          <w:bCs/>
          <w:sz w:val="24"/>
          <w:szCs w:val="24"/>
        </w:rPr>
        <w:t xml:space="preserve"> poľnohospodárskej/lesnej produkcie), sociálnej (</w:t>
      </w:r>
      <w:r w:rsidR="00572F52" w:rsidRPr="00486964">
        <w:rPr>
          <w:rFonts w:ascii="Times New Roman" w:hAnsi="Times New Roman" w:cs="Times New Roman"/>
          <w:sz w:val="24"/>
          <w:szCs w:val="24"/>
        </w:rPr>
        <w:t>zapojenie dlhodobo nez</w:t>
      </w:r>
      <w:r w:rsidR="004F423D" w:rsidRPr="00486964">
        <w:rPr>
          <w:rFonts w:ascii="Times New Roman" w:hAnsi="Times New Roman" w:cs="Times New Roman"/>
          <w:sz w:val="24"/>
          <w:szCs w:val="24"/>
        </w:rPr>
        <w:t xml:space="preserve">amestnaných, </w:t>
      </w:r>
      <w:r w:rsidR="001F1D5A" w:rsidRPr="00486964">
        <w:rPr>
          <w:rFonts w:ascii="Times New Roman" w:hAnsi="Times New Roman" w:cs="Times New Roman"/>
          <w:sz w:val="24"/>
          <w:szCs w:val="24"/>
        </w:rPr>
        <w:t>zvýšenie pocitu</w:t>
      </w:r>
      <w:r w:rsidR="004F423D" w:rsidRPr="00486964">
        <w:rPr>
          <w:rFonts w:ascii="Times New Roman" w:hAnsi="Times New Roman" w:cs="Times New Roman"/>
          <w:sz w:val="24"/>
          <w:szCs w:val="24"/>
        </w:rPr>
        <w:t xml:space="preserve"> bezpečia) </w:t>
      </w:r>
      <w:r w:rsidR="00581330" w:rsidRPr="00486964">
        <w:rPr>
          <w:rFonts w:ascii="Times New Roman" w:hAnsi="Times New Roman" w:cs="Times New Roman"/>
          <w:sz w:val="24"/>
          <w:szCs w:val="24"/>
        </w:rPr>
        <w:t>a</w:t>
      </w:r>
      <w:r w:rsidR="00CE2323">
        <w:rPr>
          <w:rFonts w:ascii="Times New Roman" w:hAnsi="Times New Roman" w:cs="Times New Roman"/>
          <w:sz w:val="24"/>
          <w:szCs w:val="24"/>
        </w:rPr>
        <w:t> </w:t>
      </w:r>
      <w:r w:rsidR="00572F52" w:rsidRPr="00486964">
        <w:rPr>
          <w:rFonts w:ascii="Times New Roman" w:hAnsi="Times New Roman" w:cs="Times New Roman"/>
          <w:sz w:val="24"/>
          <w:szCs w:val="24"/>
        </w:rPr>
        <w:t>kultúrnej (</w:t>
      </w:r>
      <w:r w:rsidR="00572F52" w:rsidRPr="00486964">
        <w:rPr>
          <w:rFonts w:ascii="Times New Roman" w:hAnsi="Times New Roman" w:cs="Times New Roman"/>
          <w:bCs/>
          <w:sz w:val="24"/>
          <w:szCs w:val="24"/>
        </w:rPr>
        <w:t>skrášl</w:t>
      </w:r>
      <w:r w:rsidR="00AE1067" w:rsidRPr="00486964">
        <w:rPr>
          <w:rFonts w:ascii="Times New Roman" w:hAnsi="Times New Roman" w:cs="Times New Roman"/>
          <w:bCs/>
          <w:sz w:val="24"/>
          <w:szCs w:val="24"/>
        </w:rPr>
        <w:t>enie</w:t>
      </w:r>
      <w:r w:rsidR="00572F52" w:rsidRPr="00486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67" w:rsidRPr="00486964">
        <w:rPr>
          <w:rFonts w:ascii="Times New Roman" w:hAnsi="Times New Roman" w:cs="Times New Roman"/>
          <w:bCs/>
          <w:sz w:val="24"/>
          <w:szCs w:val="24"/>
        </w:rPr>
        <w:t>okolia a oddych</w:t>
      </w:r>
      <w:r w:rsidR="00581330" w:rsidRPr="00486964">
        <w:rPr>
          <w:rFonts w:ascii="Times New Roman" w:hAnsi="Times New Roman" w:cs="Times New Roman"/>
          <w:bCs/>
          <w:sz w:val="24"/>
          <w:szCs w:val="24"/>
        </w:rPr>
        <w:t>) oblasti.</w:t>
      </w:r>
    </w:p>
    <w:p w:rsidR="003819ED" w:rsidRPr="00486964" w:rsidRDefault="00581330" w:rsidP="00486964">
      <w:pPr>
        <w:pStyle w:val="Odsekzoznamu"/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86964">
        <w:rPr>
          <w:rFonts w:ascii="Times New Roman" w:hAnsi="Times New Roman" w:cs="Times New Roman"/>
          <w:b/>
          <w:sz w:val="24"/>
          <w:szCs w:val="24"/>
        </w:rPr>
        <w:t>Tri štvrtiny</w:t>
      </w:r>
      <w:r w:rsidR="008208B7" w:rsidRPr="00486964">
        <w:rPr>
          <w:rFonts w:ascii="Times New Roman" w:hAnsi="Times New Roman" w:cs="Times New Roman"/>
          <w:b/>
          <w:sz w:val="24"/>
          <w:szCs w:val="24"/>
        </w:rPr>
        <w:t xml:space="preserve"> starostov </w:t>
      </w:r>
      <w:r w:rsidR="002D7A5B" w:rsidRPr="00486964">
        <w:rPr>
          <w:rFonts w:ascii="Times New Roman" w:hAnsi="Times New Roman" w:cs="Times New Roman"/>
          <w:b/>
          <w:sz w:val="24"/>
          <w:szCs w:val="24"/>
        </w:rPr>
        <w:t xml:space="preserve">považuje </w:t>
      </w:r>
      <w:r w:rsidR="008208B7" w:rsidRPr="00486964">
        <w:rPr>
          <w:rFonts w:ascii="Times New Roman" w:hAnsi="Times New Roman" w:cs="Times New Roman"/>
          <w:b/>
          <w:sz w:val="24"/>
          <w:szCs w:val="24"/>
        </w:rPr>
        <w:t xml:space="preserve">za potrebné dobudovať </w:t>
      </w:r>
      <w:r w:rsidR="004F423D" w:rsidRPr="00486964">
        <w:rPr>
          <w:rFonts w:ascii="Times New Roman" w:hAnsi="Times New Roman" w:cs="Times New Roman"/>
          <w:b/>
          <w:sz w:val="24"/>
          <w:szCs w:val="24"/>
        </w:rPr>
        <w:t>v ich katastroch dvoj a viacnásobok</w:t>
      </w:r>
      <w:r w:rsidR="008208B7" w:rsidRPr="0048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1C" w:rsidRPr="00486964">
        <w:rPr>
          <w:rFonts w:ascii="Times New Roman" w:hAnsi="Times New Roman" w:cs="Times New Roman"/>
          <w:b/>
          <w:sz w:val="24"/>
          <w:szCs w:val="24"/>
        </w:rPr>
        <w:t xml:space="preserve">revitalizačných </w:t>
      </w:r>
      <w:r w:rsidR="004F423D" w:rsidRPr="00486964">
        <w:rPr>
          <w:rFonts w:ascii="Times New Roman" w:hAnsi="Times New Roman" w:cs="Times New Roman"/>
          <w:b/>
          <w:sz w:val="24"/>
          <w:szCs w:val="24"/>
        </w:rPr>
        <w:t xml:space="preserve">opatrení v porovnaní s rozsahom </w:t>
      </w:r>
      <w:r w:rsidR="00D4041C" w:rsidRPr="00486964">
        <w:rPr>
          <w:rFonts w:ascii="Times New Roman" w:hAnsi="Times New Roman" w:cs="Times New Roman"/>
          <w:b/>
          <w:sz w:val="24"/>
          <w:szCs w:val="24"/>
        </w:rPr>
        <w:t xml:space="preserve">už vybudovaných </w:t>
      </w:r>
      <w:r w:rsidR="004F423D" w:rsidRPr="00486964">
        <w:rPr>
          <w:rFonts w:ascii="Times New Roman" w:hAnsi="Times New Roman" w:cs="Times New Roman"/>
          <w:b/>
          <w:sz w:val="24"/>
          <w:szCs w:val="24"/>
        </w:rPr>
        <w:t>opatrení</w:t>
      </w:r>
      <w:r w:rsidR="00D4041C" w:rsidRPr="00486964">
        <w:rPr>
          <w:rFonts w:ascii="Times New Roman" w:hAnsi="Times New Roman" w:cs="Times New Roman"/>
          <w:b/>
          <w:sz w:val="24"/>
          <w:szCs w:val="24"/>
        </w:rPr>
        <w:t>.</w:t>
      </w:r>
      <w:r w:rsidR="004F423D" w:rsidRPr="00486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8D" w:rsidRPr="0081666B" w:rsidRDefault="000D5A8D" w:rsidP="00581330">
      <w:pPr>
        <w:shd w:val="clear" w:color="auto" w:fill="D9D9D9" w:themeFill="background1" w:themeFillShade="D9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6B">
        <w:rPr>
          <w:rFonts w:ascii="Times New Roman" w:hAnsi="Times New Roman" w:cs="Times New Roman"/>
          <w:b/>
          <w:sz w:val="24"/>
          <w:szCs w:val="24"/>
        </w:rPr>
        <w:lastRenderedPageBreak/>
        <w:t>Stručné vyhodnotenie</w:t>
      </w:r>
    </w:p>
    <w:p w:rsidR="00486964" w:rsidRDefault="007C48E5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A89729F" wp14:editId="45FF17E7">
            <wp:simplePos x="0" y="0"/>
            <wp:positionH relativeFrom="column">
              <wp:posOffset>2340610</wp:posOffset>
            </wp:positionH>
            <wp:positionV relativeFrom="paragraph">
              <wp:posOffset>546100</wp:posOffset>
            </wp:positionV>
            <wp:extent cx="3863975" cy="2743200"/>
            <wp:effectExtent l="0" t="0" r="22225" b="19050"/>
            <wp:wrapTight wrapText="bothSides">
              <wp:wrapPolygon edited="0">
                <wp:start x="0" y="0"/>
                <wp:lineTo x="0" y="21600"/>
                <wp:lineTo x="21618" y="21600"/>
                <wp:lineTo x="21618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9A1" w:rsidRPr="005129A1">
        <w:rPr>
          <w:rFonts w:ascii="Times New Roman" w:hAnsi="Times New Roman" w:cs="Times New Roman"/>
          <w:i/>
          <w:sz w:val="24"/>
          <w:szCs w:val="24"/>
        </w:rPr>
        <w:t>Výskyt povodní</w:t>
      </w:r>
      <w:r w:rsidR="005129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04235" w:rsidRPr="0089234F">
        <w:rPr>
          <w:rFonts w:ascii="Times New Roman" w:hAnsi="Times New Roman" w:cs="Times New Roman"/>
          <w:sz w:val="24"/>
          <w:szCs w:val="24"/>
        </w:rPr>
        <w:t>Odpovede starostov</w:t>
      </w:r>
      <w:r w:rsidR="00020528" w:rsidRPr="0089234F">
        <w:rPr>
          <w:rFonts w:ascii="Times New Roman" w:hAnsi="Times New Roman" w:cs="Times New Roman"/>
          <w:sz w:val="24"/>
          <w:szCs w:val="24"/>
        </w:rPr>
        <w:t>, ktorí vyplnili dotazník,</w:t>
      </w:r>
      <w:r w:rsidR="00804235" w:rsidRPr="0089234F">
        <w:rPr>
          <w:rFonts w:ascii="Times New Roman" w:hAnsi="Times New Roman" w:cs="Times New Roman"/>
          <w:sz w:val="24"/>
          <w:szCs w:val="24"/>
        </w:rPr>
        <w:t xml:space="preserve"> naznačujú, že p</w:t>
      </w:r>
      <w:r w:rsidR="00804235" w:rsidRPr="007C48E5">
        <w:rPr>
          <w:rFonts w:ascii="Times New Roman" w:hAnsi="Times New Roman" w:cs="Times New Roman"/>
          <w:b/>
          <w:sz w:val="24"/>
          <w:szCs w:val="24"/>
        </w:rPr>
        <w:t>očet povodní v</w:t>
      </w:r>
      <w:r w:rsidR="00D4041C" w:rsidRPr="007C48E5">
        <w:rPr>
          <w:rFonts w:ascii="Times New Roman" w:hAnsi="Times New Roman" w:cs="Times New Roman"/>
          <w:b/>
          <w:sz w:val="24"/>
          <w:szCs w:val="24"/>
        </w:rPr>
        <w:t> </w:t>
      </w:r>
      <w:r w:rsidR="00804235" w:rsidRPr="007C48E5">
        <w:rPr>
          <w:rFonts w:ascii="Times New Roman" w:hAnsi="Times New Roman" w:cs="Times New Roman"/>
          <w:b/>
          <w:sz w:val="24"/>
          <w:szCs w:val="24"/>
        </w:rPr>
        <w:t>obciach</w:t>
      </w:r>
      <w:r w:rsidR="00D4041C" w:rsidRPr="007C48E5">
        <w:rPr>
          <w:rFonts w:ascii="Times New Roman" w:hAnsi="Times New Roman" w:cs="Times New Roman"/>
          <w:b/>
          <w:sz w:val="24"/>
          <w:szCs w:val="24"/>
        </w:rPr>
        <w:t xml:space="preserve"> s vybudovanými</w:t>
      </w:r>
      <w:r w:rsidR="00804235" w:rsidRPr="007C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1C" w:rsidRPr="007C48E5">
        <w:rPr>
          <w:rFonts w:ascii="Times New Roman" w:hAnsi="Times New Roman" w:cs="Times New Roman"/>
          <w:b/>
          <w:sz w:val="24"/>
          <w:szCs w:val="24"/>
        </w:rPr>
        <w:t xml:space="preserve">revitalizačnými </w:t>
      </w:r>
      <w:r w:rsidR="00804235" w:rsidRPr="007C48E5">
        <w:rPr>
          <w:rFonts w:ascii="Times New Roman" w:hAnsi="Times New Roman" w:cs="Times New Roman"/>
          <w:b/>
          <w:sz w:val="24"/>
          <w:szCs w:val="24"/>
        </w:rPr>
        <w:t>opatrenia</w:t>
      </w:r>
      <w:r w:rsidR="00D4041C" w:rsidRPr="007C48E5">
        <w:rPr>
          <w:rFonts w:ascii="Times New Roman" w:hAnsi="Times New Roman" w:cs="Times New Roman"/>
          <w:b/>
          <w:sz w:val="24"/>
          <w:szCs w:val="24"/>
        </w:rPr>
        <w:t>mi, v</w:t>
      </w:r>
      <w:r w:rsidR="00804235" w:rsidRPr="007C48E5">
        <w:rPr>
          <w:rFonts w:ascii="Times New Roman" w:hAnsi="Times New Roman" w:cs="Times New Roman"/>
          <w:b/>
          <w:sz w:val="24"/>
          <w:szCs w:val="24"/>
        </w:rPr>
        <w:t> rokoch 2012 a 2013 oproti roku 2011 výrazne klesol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235" w:rsidRPr="0089234F">
        <w:rPr>
          <w:rFonts w:ascii="Times New Roman" w:hAnsi="Times New Roman" w:cs="Times New Roman"/>
          <w:sz w:val="24"/>
          <w:szCs w:val="24"/>
        </w:rPr>
        <w:t xml:space="preserve"> a to napriek tomu, že v roku 2011 bol na území SR z uvedených rokov najnižší ročný úhrn zrážok (656, 747 a 864 mm)</w:t>
      </w:r>
      <w:r w:rsidR="005129A1">
        <w:rPr>
          <w:rFonts w:ascii="Times New Roman" w:hAnsi="Times New Roman" w:cs="Times New Roman"/>
          <w:sz w:val="24"/>
          <w:szCs w:val="24"/>
        </w:rPr>
        <w:t>.</w:t>
      </w:r>
      <w:r w:rsidR="00020528" w:rsidRPr="0089234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804235" w:rsidRPr="0089234F">
        <w:rPr>
          <w:rFonts w:ascii="Times New Roman" w:hAnsi="Times New Roman" w:cs="Times New Roman"/>
          <w:sz w:val="24"/>
          <w:szCs w:val="24"/>
        </w:rPr>
        <w:t xml:space="preserve"> </w:t>
      </w:r>
      <w:r w:rsidR="00020528" w:rsidRPr="0089234F">
        <w:rPr>
          <w:rFonts w:ascii="Times New Roman" w:hAnsi="Times New Roman" w:cs="Times New Roman"/>
          <w:sz w:val="24"/>
          <w:szCs w:val="24"/>
        </w:rPr>
        <w:t>Relatívne n</w:t>
      </w:r>
      <w:r w:rsidR="00804235" w:rsidRPr="0089234F">
        <w:rPr>
          <w:rFonts w:ascii="Times New Roman" w:hAnsi="Times New Roman" w:cs="Times New Roman"/>
          <w:sz w:val="24"/>
          <w:szCs w:val="24"/>
        </w:rPr>
        <w:t>ízky počet povodní v roku 2013</w:t>
      </w:r>
      <w:r w:rsidR="00020528" w:rsidRPr="0089234F">
        <w:rPr>
          <w:rFonts w:ascii="Times New Roman" w:hAnsi="Times New Roman" w:cs="Times New Roman"/>
          <w:sz w:val="24"/>
          <w:szCs w:val="24"/>
        </w:rPr>
        <w:t xml:space="preserve">, ktorý bol zrážkovo </w:t>
      </w:r>
      <w:r w:rsidR="0089234F">
        <w:rPr>
          <w:rFonts w:ascii="Times New Roman" w:hAnsi="Times New Roman" w:cs="Times New Roman"/>
          <w:sz w:val="24"/>
          <w:szCs w:val="24"/>
        </w:rPr>
        <w:t xml:space="preserve">mierne </w:t>
      </w:r>
      <w:r w:rsidR="00020528" w:rsidRPr="0089234F">
        <w:rPr>
          <w:rFonts w:ascii="Times New Roman" w:hAnsi="Times New Roman" w:cs="Times New Roman"/>
          <w:sz w:val="24"/>
          <w:szCs w:val="24"/>
        </w:rPr>
        <w:t>nadpriemerný (</w:t>
      </w:r>
      <w:r w:rsidR="0089234F" w:rsidRPr="0089234F">
        <w:rPr>
          <w:rFonts w:ascii="Times New Roman" w:hAnsi="Times New Roman" w:cs="Times New Roman"/>
          <w:sz w:val="24"/>
          <w:szCs w:val="24"/>
        </w:rPr>
        <w:t>za priemerný ročný úhrn zrážok na Slovensku sa uvažuje 751 mm</w:t>
      </w:r>
      <w:r w:rsidR="00020528" w:rsidRPr="0089234F">
        <w:rPr>
          <w:rFonts w:ascii="Times New Roman" w:hAnsi="Times New Roman" w:cs="Times New Roman"/>
          <w:sz w:val="24"/>
          <w:szCs w:val="24"/>
        </w:rPr>
        <w:t>)</w:t>
      </w:r>
      <w:r w:rsidR="00804235" w:rsidRPr="0089234F">
        <w:rPr>
          <w:rFonts w:ascii="Times New Roman" w:hAnsi="Times New Roman" w:cs="Times New Roman"/>
          <w:sz w:val="24"/>
          <w:szCs w:val="24"/>
        </w:rPr>
        <w:t xml:space="preserve"> spochybňuje </w:t>
      </w:r>
      <w:r w:rsidR="004F423D" w:rsidRPr="00D4041C">
        <w:rPr>
          <w:rFonts w:ascii="Times New Roman" w:hAnsi="Times New Roman" w:cs="Times New Roman"/>
          <w:sz w:val="24"/>
          <w:szCs w:val="24"/>
        </w:rPr>
        <w:t>oprávnenosť</w:t>
      </w:r>
      <w:r w:rsidR="004F42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F423D">
        <w:rPr>
          <w:rFonts w:ascii="Times New Roman" w:hAnsi="Times New Roman" w:cs="Times New Roman"/>
          <w:sz w:val="24"/>
          <w:szCs w:val="24"/>
        </w:rPr>
        <w:t>najčastejšej námietk</w:t>
      </w:r>
      <w:r w:rsidR="004F423D" w:rsidRPr="00D4041C">
        <w:rPr>
          <w:rFonts w:ascii="Times New Roman" w:hAnsi="Times New Roman" w:cs="Times New Roman"/>
          <w:sz w:val="24"/>
          <w:szCs w:val="24"/>
        </w:rPr>
        <w:t>y</w:t>
      </w:r>
      <w:r w:rsidR="004F423D">
        <w:rPr>
          <w:rFonts w:ascii="Times New Roman" w:hAnsi="Times New Roman" w:cs="Times New Roman"/>
          <w:sz w:val="24"/>
          <w:szCs w:val="24"/>
        </w:rPr>
        <w:t xml:space="preserve">, </w:t>
      </w:r>
      <w:r w:rsidR="0089234F">
        <w:rPr>
          <w:rFonts w:ascii="Times New Roman" w:hAnsi="Times New Roman" w:cs="Times New Roman"/>
          <w:sz w:val="24"/>
          <w:szCs w:val="24"/>
        </w:rPr>
        <w:t xml:space="preserve">že povodne sa nevyskytli preto, lebo bolo sucho. Ročný </w:t>
      </w:r>
      <w:r w:rsidR="006C7A35">
        <w:rPr>
          <w:rFonts w:ascii="Times New Roman" w:hAnsi="Times New Roman" w:cs="Times New Roman"/>
          <w:sz w:val="24"/>
          <w:szCs w:val="24"/>
        </w:rPr>
        <w:t xml:space="preserve">úhrn zrážok nehovorí veľa o výskyte prívalových zrážok, ktoré sú častou príčinou povodní v horných častiach tokov, kam bol </w:t>
      </w:r>
      <w:r w:rsidR="001F1D5A">
        <w:rPr>
          <w:rFonts w:ascii="Times New Roman" w:hAnsi="Times New Roman" w:cs="Times New Roman"/>
          <w:sz w:val="24"/>
          <w:szCs w:val="24"/>
        </w:rPr>
        <w:t>P</w:t>
      </w:r>
      <w:r w:rsidR="006D7368">
        <w:rPr>
          <w:rFonts w:ascii="Times New Roman" w:hAnsi="Times New Roman" w:cs="Times New Roman"/>
          <w:sz w:val="24"/>
          <w:szCs w:val="24"/>
        </w:rPr>
        <w:t xml:space="preserve">rogram revitalizácie krajiny a integrovaného manažmentu povodí </w:t>
      </w:r>
      <w:r w:rsidR="006C7A35">
        <w:rPr>
          <w:rFonts w:ascii="Times New Roman" w:hAnsi="Times New Roman" w:cs="Times New Roman"/>
          <w:sz w:val="24"/>
          <w:szCs w:val="24"/>
        </w:rPr>
        <w:t xml:space="preserve">primárne </w:t>
      </w:r>
      <w:r w:rsidR="006D7368">
        <w:rPr>
          <w:rFonts w:ascii="Times New Roman" w:hAnsi="Times New Roman" w:cs="Times New Roman"/>
          <w:sz w:val="24"/>
          <w:szCs w:val="24"/>
        </w:rPr>
        <w:t>v rokoch 2011 a</w:t>
      </w:r>
      <w:r w:rsidR="001F1D5A">
        <w:rPr>
          <w:rFonts w:ascii="Times New Roman" w:hAnsi="Times New Roman" w:cs="Times New Roman"/>
          <w:sz w:val="24"/>
          <w:szCs w:val="24"/>
        </w:rPr>
        <w:t> </w:t>
      </w:r>
      <w:r w:rsidR="006D7368">
        <w:rPr>
          <w:rFonts w:ascii="Times New Roman" w:hAnsi="Times New Roman" w:cs="Times New Roman"/>
          <w:sz w:val="24"/>
          <w:szCs w:val="24"/>
        </w:rPr>
        <w:t>2012</w:t>
      </w:r>
      <w:r w:rsidR="001F1D5A">
        <w:rPr>
          <w:rFonts w:ascii="Times New Roman" w:hAnsi="Times New Roman" w:cs="Times New Roman"/>
          <w:sz w:val="24"/>
          <w:szCs w:val="24"/>
        </w:rPr>
        <w:t xml:space="preserve"> nasmerovaný</w:t>
      </w:r>
      <w:r w:rsidR="00836B77">
        <w:rPr>
          <w:rFonts w:ascii="Times New Roman" w:hAnsi="Times New Roman" w:cs="Times New Roman"/>
          <w:sz w:val="24"/>
          <w:szCs w:val="24"/>
        </w:rPr>
        <w:t>.</w:t>
      </w:r>
    </w:p>
    <w:p w:rsidR="00804235" w:rsidRPr="00317C3C" w:rsidRDefault="006D7368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Povodne </w:t>
      </w:r>
      <w:r w:rsidR="00836B77">
        <w:rPr>
          <w:rFonts w:ascii="Times New Roman" w:hAnsi="Times New Roman" w:cs="Times New Roman"/>
          <w:sz w:val="24"/>
          <w:szCs w:val="24"/>
        </w:rPr>
        <w:t xml:space="preserve"> </w:t>
      </w:r>
      <w:r w:rsidR="006C7A35">
        <w:rPr>
          <w:rFonts w:ascii="Times New Roman" w:hAnsi="Times New Roman" w:cs="Times New Roman"/>
          <w:sz w:val="24"/>
          <w:szCs w:val="24"/>
        </w:rPr>
        <w:t xml:space="preserve">sa vo zvýšenej miere môžu vyskytovať </w:t>
      </w:r>
      <w:r w:rsidR="00635D08">
        <w:rPr>
          <w:rFonts w:ascii="Times New Roman" w:hAnsi="Times New Roman" w:cs="Times New Roman"/>
          <w:sz w:val="24"/>
          <w:szCs w:val="24"/>
        </w:rPr>
        <w:t>pri extrémnych výkyvoch počasia,</w:t>
      </w:r>
      <w:r w:rsidR="006C7A35">
        <w:rPr>
          <w:rFonts w:ascii="Times New Roman" w:hAnsi="Times New Roman" w:cs="Times New Roman"/>
          <w:sz w:val="24"/>
          <w:szCs w:val="24"/>
        </w:rPr>
        <w:t xml:space="preserve"> ale</w:t>
      </w:r>
      <w:r w:rsidR="00635D08">
        <w:rPr>
          <w:rFonts w:ascii="Times New Roman" w:hAnsi="Times New Roman" w:cs="Times New Roman"/>
          <w:sz w:val="24"/>
          <w:szCs w:val="24"/>
        </w:rPr>
        <w:t xml:space="preserve"> práve kritici </w:t>
      </w:r>
      <w:r w:rsidR="001F1D5A">
        <w:rPr>
          <w:rFonts w:ascii="Times New Roman" w:hAnsi="Times New Roman" w:cs="Times New Roman"/>
          <w:sz w:val="24"/>
          <w:szCs w:val="24"/>
        </w:rPr>
        <w:t>p</w:t>
      </w:r>
      <w:r w:rsidR="00635D08" w:rsidRPr="0081666B">
        <w:rPr>
          <w:rFonts w:ascii="Times New Roman" w:hAnsi="Times New Roman" w:cs="Times New Roman"/>
          <w:sz w:val="24"/>
          <w:szCs w:val="24"/>
        </w:rPr>
        <w:t xml:space="preserve">rogramu </w:t>
      </w:r>
      <w:r w:rsidR="00635D08">
        <w:rPr>
          <w:rFonts w:ascii="Times New Roman" w:hAnsi="Times New Roman" w:cs="Times New Roman"/>
          <w:sz w:val="24"/>
          <w:szCs w:val="24"/>
        </w:rPr>
        <w:t>z akademického prostredia</w:t>
      </w:r>
      <w:r w:rsidR="006C7A35">
        <w:rPr>
          <w:rFonts w:ascii="Times New Roman" w:hAnsi="Times New Roman" w:cs="Times New Roman"/>
          <w:sz w:val="24"/>
          <w:szCs w:val="24"/>
        </w:rPr>
        <w:t xml:space="preserve"> </w:t>
      </w:r>
      <w:r w:rsidR="006C7A35" w:rsidRPr="0081666B">
        <w:rPr>
          <w:rFonts w:ascii="Times New Roman" w:hAnsi="Times New Roman" w:cs="Times New Roman"/>
          <w:sz w:val="24"/>
          <w:szCs w:val="24"/>
        </w:rPr>
        <w:t>bagatelizova</w:t>
      </w:r>
      <w:r w:rsidR="00635D08">
        <w:rPr>
          <w:rFonts w:ascii="Times New Roman" w:hAnsi="Times New Roman" w:cs="Times New Roman"/>
          <w:sz w:val="24"/>
          <w:szCs w:val="24"/>
        </w:rPr>
        <w:t>li vplyv</w:t>
      </w:r>
      <w:r w:rsidR="006C7A35" w:rsidRPr="0081666B">
        <w:rPr>
          <w:rFonts w:ascii="Times New Roman" w:hAnsi="Times New Roman" w:cs="Times New Roman"/>
          <w:sz w:val="24"/>
          <w:szCs w:val="24"/>
        </w:rPr>
        <w:t xml:space="preserve"> príval</w:t>
      </w:r>
      <w:r w:rsidR="006C7A35">
        <w:rPr>
          <w:rFonts w:ascii="Times New Roman" w:hAnsi="Times New Roman" w:cs="Times New Roman"/>
          <w:sz w:val="24"/>
          <w:szCs w:val="24"/>
        </w:rPr>
        <w:t xml:space="preserve">ových dažďov </w:t>
      </w:r>
      <w:r w:rsidR="00635D08">
        <w:rPr>
          <w:rFonts w:ascii="Times New Roman" w:hAnsi="Times New Roman" w:cs="Times New Roman"/>
          <w:sz w:val="24"/>
          <w:szCs w:val="24"/>
        </w:rPr>
        <w:t>na vznik povodní</w:t>
      </w:r>
      <w:r w:rsidR="00836B77">
        <w:rPr>
          <w:rFonts w:ascii="Times New Roman" w:hAnsi="Times New Roman" w:cs="Times New Roman"/>
          <w:sz w:val="24"/>
          <w:szCs w:val="24"/>
        </w:rPr>
        <w:t>, pretože zasahujú „relatívne malé územie.“</w:t>
      </w:r>
      <w:r w:rsidR="00635D08">
        <w:rPr>
          <w:rFonts w:ascii="Times New Roman" w:hAnsi="Times New Roman" w:cs="Times New Roman"/>
          <w:sz w:val="24"/>
          <w:szCs w:val="24"/>
        </w:rPr>
        <w:t>.</w:t>
      </w:r>
      <w:r w:rsidR="006C7A35" w:rsidRPr="0081666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881B94">
        <w:rPr>
          <w:rFonts w:ascii="Times New Roman" w:hAnsi="Times New Roman" w:cs="Times New Roman"/>
          <w:sz w:val="24"/>
          <w:szCs w:val="24"/>
        </w:rPr>
        <w:t xml:space="preserve"> Z tých starostov</w:t>
      </w:r>
      <w:r w:rsidR="007749FA">
        <w:rPr>
          <w:rFonts w:ascii="Times New Roman" w:hAnsi="Times New Roman" w:cs="Times New Roman"/>
          <w:sz w:val="24"/>
          <w:szCs w:val="24"/>
        </w:rPr>
        <w:t>, ktorí odpovedali</w:t>
      </w:r>
      <w:r w:rsidR="00881B94">
        <w:rPr>
          <w:rFonts w:ascii="Times New Roman" w:hAnsi="Times New Roman" w:cs="Times New Roman"/>
          <w:sz w:val="24"/>
          <w:szCs w:val="24"/>
        </w:rPr>
        <w:t xml:space="preserve"> na otázku</w:t>
      </w:r>
      <w:r w:rsidR="007749FA">
        <w:rPr>
          <w:rFonts w:ascii="Times New Roman" w:hAnsi="Times New Roman" w:cs="Times New Roman"/>
          <w:sz w:val="24"/>
          <w:szCs w:val="24"/>
        </w:rPr>
        <w:t xml:space="preserve">, či sa </w:t>
      </w:r>
      <w:r w:rsidR="007749FA" w:rsidRPr="007749FA">
        <w:rPr>
          <w:rFonts w:ascii="Times New Roman" w:hAnsi="Times New Roman" w:cs="Times New Roman"/>
          <w:sz w:val="24"/>
          <w:szCs w:val="24"/>
        </w:rPr>
        <w:t xml:space="preserve">od vybudovania revitalizačných opatrení v katastri </w:t>
      </w:r>
      <w:r w:rsidR="007749FA">
        <w:rPr>
          <w:rFonts w:ascii="Times New Roman" w:hAnsi="Times New Roman" w:cs="Times New Roman"/>
          <w:sz w:val="24"/>
          <w:szCs w:val="24"/>
        </w:rPr>
        <w:t xml:space="preserve">ich </w:t>
      </w:r>
      <w:r w:rsidR="007749FA" w:rsidRPr="007749FA">
        <w:rPr>
          <w:rFonts w:ascii="Times New Roman" w:hAnsi="Times New Roman" w:cs="Times New Roman"/>
          <w:sz w:val="24"/>
          <w:szCs w:val="24"/>
        </w:rPr>
        <w:t>obce/mesta</w:t>
      </w:r>
      <w:r w:rsidR="007749FA">
        <w:rPr>
          <w:rFonts w:ascii="Times New Roman" w:hAnsi="Times New Roman" w:cs="Times New Roman"/>
          <w:sz w:val="24"/>
          <w:szCs w:val="24"/>
        </w:rPr>
        <w:t xml:space="preserve"> v</w:t>
      </w:r>
      <w:r w:rsidR="007749FA" w:rsidRPr="007749FA">
        <w:rPr>
          <w:rFonts w:ascii="Times New Roman" w:hAnsi="Times New Roman" w:cs="Times New Roman"/>
          <w:sz w:val="24"/>
          <w:szCs w:val="24"/>
        </w:rPr>
        <w:t xml:space="preserve">yskytli </w:t>
      </w:r>
      <w:r w:rsidR="00263D05">
        <w:rPr>
          <w:rFonts w:ascii="Times New Roman" w:hAnsi="Times New Roman" w:cs="Times New Roman"/>
          <w:sz w:val="24"/>
          <w:szCs w:val="24"/>
        </w:rPr>
        <w:t xml:space="preserve">také </w:t>
      </w:r>
      <w:r w:rsidR="007749FA" w:rsidRPr="007749FA">
        <w:rPr>
          <w:rFonts w:ascii="Times New Roman" w:hAnsi="Times New Roman" w:cs="Times New Roman"/>
          <w:sz w:val="24"/>
          <w:szCs w:val="24"/>
        </w:rPr>
        <w:t xml:space="preserve">zrážky, ktoré podľa </w:t>
      </w:r>
      <w:r w:rsidR="007749FA">
        <w:rPr>
          <w:rFonts w:ascii="Times New Roman" w:hAnsi="Times New Roman" w:cs="Times New Roman"/>
          <w:sz w:val="24"/>
          <w:szCs w:val="24"/>
        </w:rPr>
        <w:t xml:space="preserve">ich </w:t>
      </w:r>
      <w:r w:rsidR="007749FA" w:rsidRPr="007749FA">
        <w:rPr>
          <w:rFonts w:ascii="Times New Roman" w:hAnsi="Times New Roman" w:cs="Times New Roman"/>
          <w:sz w:val="24"/>
          <w:szCs w:val="24"/>
        </w:rPr>
        <w:t>odhadu v minulosti spôsobovali povodňové stavy</w:t>
      </w:r>
      <w:r w:rsidR="007749FA">
        <w:rPr>
          <w:rFonts w:ascii="Times New Roman" w:hAnsi="Times New Roman" w:cs="Times New Roman"/>
          <w:sz w:val="24"/>
          <w:szCs w:val="24"/>
        </w:rPr>
        <w:t xml:space="preserve">, </w:t>
      </w:r>
      <w:r w:rsidR="00881B94">
        <w:rPr>
          <w:rFonts w:ascii="Times New Roman" w:hAnsi="Times New Roman" w:cs="Times New Roman"/>
          <w:sz w:val="24"/>
          <w:szCs w:val="24"/>
        </w:rPr>
        <w:t xml:space="preserve">viac ako polovica </w:t>
      </w:r>
      <w:r w:rsidR="007749FA">
        <w:rPr>
          <w:rFonts w:ascii="Times New Roman" w:hAnsi="Times New Roman" w:cs="Times New Roman"/>
          <w:sz w:val="24"/>
          <w:szCs w:val="24"/>
        </w:rPr>
        <w:t>odpovedala kladne</w:t>
      </w:r>
      <w:r w:rsidR="00836B77">
        <w:rPr>
          <w:rFonts w:ascii="Times New Roman" w:hAnsi="Times New Roman" w:cs="Times New Roman"/>
          <w:sz w:val="24"/>
          <w:szCs w:val="24"/>
        </w:rPr>
        <w:t>.</w:t>
      </w:r>
      <w:r w:rsidR="00881B94">
        <w:rPr>
          <w:rFonts w:ascii="Times New Roman" w:hAnsi="Times New Roman" w:cs="Times New Roman"/>
          <w:sz w:val="24"/>
          <w:szCs w:val="24"/>
        </w:rPr>
        <w:t xml:space="preserve"> </w:t>
      </w:r>
      <w:r w:rsidR="00263D05">
        <w:rPr>
          <w:rFonts w:ascii="Times New Roman" w:hAnsi="Times New Roman" w:cs="Times New Roman"/>
          <w:sz w:val="24"/>
          <w:szCs w:val="24"/>
        </w:rPr>
        <w:t xml:space="preserve">Starostovský odhad výskytu </w:t>
      </w:r>
      <w:r w:rsidR="00836B77">
        <w:rPr>
          <w:rFonts w:ascii="Times New Roman" w:hAnsi="Times New Roman" w:cs="Times New Roman"/>
          <w:sz w:val="24"/>
          <w:szCs w:val="24"/>
        </w:rPr>
        <w:t xml:space="preserve">zrážok </w:t>
      </w:r>
      <w:r w:rsidR="00263D05">
        <w:rPr>
          <w:rFonts w:ascii="Times New Roman" w:hAnsi="Times New Roman" w:cs="Times New Roman"/>
          <w:sz w:val="24"/>
          <w:szCs w:val="24"/>
        </w:rPr>
        <w:t xml:space="preserve">spôsobujúcich povodne </w:t>
      </w:r>
      <w:r w:rsidR="00881B94">
        <w:rPr>
          <w:rFonts w:ascii="Times New Roman" w:hAnsi="Times New Roman" w:cs="Times New Roman"/>
          <w:sz w:val="24"/>
          <w:szCs w:val="24"/>
        </w:rPr>
        <w:t xml:space="preserve">úmerne zodpovedá </w:t>
      </w:r>
      <w:r w:rsidR="00836B77">
        <w:rPr>
          <w:rFonts w:ascii="Times New Roman" w:hAnsi="Times New Roman" w:cs="Times New Roman"/>
          <w:sz w:val="24"/>
          <w:szCs w:val="24"/>
        </w:rPr>
        <w:t>na</w:t>
      </w:r>
      <w:r w:rsidR="000979CF">
        <w:rPr>
          <w:rFonts w:ascii="Times New Roman" w:hAnsi="Times New Roman" w:cs="Times New Roman"/>
          <w:sz w:val="24"/>
          <w:szCs w:val="24"/>
        </w:rPr>
        <w:t xml:space="preserve">meraným </w:t>
      </w:r>
      <w:r w:rsidR="00881B94">
        <w:rPr>
          <w:rFonts w:ascii="Times New Roman" w:hAnsi="Times New Roman" w:cs="Times New Roman"/>
          <w:sz w:val="24"/>
          <w:szCs w:val="24"/>
        </w:rPr>
        <w:t>zrážkovým úhrnom v jednotlivých rok</w:t>
      </w:r>
      <w:r w:rsidR="00881B94" w:rsidRPr="00317C3C">
        <w:rPr>
          <w:rFonts w:ascii="Times New Roman" w:hAnsi="Times New Roman" w:cs="Times New Roman"/>
          <w:sz w:val="24"/>
          <w:szCs w:val="24"/>
        </w:rPr>
        <w:t xml:space="preserve">och. </w:t>
      </w:r>
    </w:p>
    <w:p w:rsidR="00804235" w:rsidRDefault="000979CF" w:rsidP="00581330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CF">
        <w:rPr>
          <w:rFonts w:ascii="Times New Roman" w:hAnsi="Times New Roman" w:cs="Times New Roman"/>
          <w:i/>
          <w:sz w:val="24"/>
          <w:szCs w:val="24"/>
        </w:rPr>
        <w:t>Vplyv revitalizačných opatrení na riziko povodní.</w:t>
      </w:r>
      <w:r w:rsidRPr="00317C3C">
        <w:rPr>
          <w:rFonts w:ascii="Times New Roman" w:hAnsi="Times New Roman" w:cs="Times New Roman"/>
          <w:sz w:val="24"/>
          <w:szCs w:val="24"/>
        </w:rPr>
        <w:t xml:space="preserve"> </w:t>
      </w:r>
      <w:r w:rsidR="00263D05">
        <w:rPr>
          <w:rFonts w:ascii="Times New Roman" w:hAnsi="Times New Roman" w:cs="Times New Roman"/>
          <w:sz w:val="24"/>
          <w:szCs w:val="24"/>
        </w:rPr>
        <w:t>O</w:t>
      </w:r>
      <w:r w:rsidR="00377298" w:rsidRPr="00317C3C">
        <w:rPr>
          <w:rFonts w:ascii="Times New Roman" w:hAnsi="Times New Roman" w:cs="Times New Roman"/>
          <w:sz w:val="24"/>
          <w:szCs w:val="24"/>
        </w:rPr>
        <w:t>dpoved</w:t>
      </w:r>
      <w:r w:rsidR="00263D05">
        <w:rPr>
          <w:rFonts w:ascii="Times New Roman" w:hAnsi="Times New Roman" w:cs="Times New Roman"/>
          <w:sz w:val="24"/>
          <w:szCs w:val="24"/>
        </w:rPr>
        <w:t>e</w:t>
      </w:r>
      <w:r w:rsidR="00377298" w:rsidRPr="00317C3C">
        <w:rPr>
          <w:rFonts w:ascii="Times New Roman" w:hAnsi="Times New Roman" w:cs="Times New Roman"/>
          <w:sz w:val="24"/>
          <w:szCs w:val="24"/>
        </w:rPr>
        <w:t xml:space="preserve"> </w:t>
      </w:r>
      <w:r w:rsidR="00BF7702" w:rsidRPr="00317C3C">
        <w:rPr>
          <w:rFonts w:ascii="Times New Roman" w:hAnsi="Times New Roman" w:cs="Times New Roman"/>
          <w:sz w:val="24"/>
          <w:szCs w:val="24"/>
        </w:rPr>
        <w:t xml:space="preserve">starostov </w:t>
      </w:r>
      <w:r w:rsidR="00263D05">
        <w:rPr>
          <w:rFonts w:ascii="Times New Roman" w:hAnsi="Times New Roman" w:cs="Times New Roman"/>
          <w:sz w:val="24"/>
          <w:szCs w:val="24"/>
        </w:rPr>
        <w:t xml:space="preserve">naznačujú, že </w:t>
      </w:r>
      <w:r w:rsidR="00BF7702" w:rsidRPr="00317C3C">
        <w:rPr>
          <w:rFonts w:ascii="Times New Roman" w:hAnsi="Times New Roman" w:cs="Times New Roman"/>
          <w:sz w:val="24"/>
          <w:szCs w:val="24"/>
        </w:rPr>
        <w:t xml:space="preserve">sa </w:t>
      </w:r>
      <w:r w:rsidR="00263D05">
        <w:rPr>
          <w:rFonts w:ascii="Times New Roman" w:hAnsi="Times New Roman" w:cs="Times New Roman"/>
          <w:sz w:val="24"/>
          <w:szCs w:val="24"/>
        </w:rPr>
        <w:t xml:space="preserve">u nich síce </w:t>
      </w:r>
      <w:r w:rsidR="00BF7702" w:rsidRPr="00317C3C">
        <w:rPr>
          <w:rFonts w:ascii="Times New Roman" w:hAnsi="Times New Roman" w:cs="Times New Roman"/>
          <w:sz w:val="24"/>
          <w:szCs w:val="24"/>
        </w:rPr>
        <w:t xml:space="preserve">zrážky </w:t>
      </w:r>
      <w:r w:rsidR="00B14799">
        <w:rPr>
          <w:rFonts w:ascii="Times New Roman" w:hAnsi="Times New Roman" w:cs="Times New Roman"/>
          <w:sz w:val="24"/>
          <w:szCs w:val="24"/>
        </w:rPr>
        <w:t xml:space="preserve">zvyčajne </w:t>
      </w:r>
      <w:r w:rsidR="00BF7702" w:rsidRPr="00317C3C">
        <w:rPr>
          <w:rFonts w:ascii="Times New Roman" w:hAnsi="Times New Roman" w:cs="Times New Roman"/>
          <w:sz w:val="24"/>
          <w:szCs w:val="24"/>
        </w:rPr>
        <w:t xml:space="preserve">spôsobujúce povodne </w:t>
      </w:r>
      <w:r w:rsidR="00263D05">
        <w:rPr>
          <w:rFonts w:ascii="Times New Roman" w:hAnsi="Times New Roman" w:cs="Times New Roman"/>
          <w:sz w:val="24"/>
          <w:szCs w:val="24"/>
        </w:rPr>
        <w:t>v ich katastroch</w:t>
      </w:r>
      <w:r w:rsidR="00095E56">
        <w:rPr>
          <w:rFonts w:ascii="Times New Roman" w:hAnsi="Times New Roman" w:cs="Times New Roman"/>
          <w:sz w:val="24"/>
          <w:szCs w:val="24"/>
        </w:rPr>
        <w:t xml:space="preserve"> vyskytli</w:t>
      </w:r>
      <w:r w:rsidR="00377298" w:rsidRPr="00317C3C">
        <w:rPr>
          <w:rFonts w:ascii="Times New Roman" w:hAnsi="Times New Roman" w:cs="Times New Roman"/>
          <w:sz w:val="24"/>
          <w:szCs w:val="24"/>
        </w:rPr>
        <w:t xml:space="preserve">, ale </w:t>
      </w:r>
      <w:r w:rsidR="00B14799" w:rsidRPr="00F80015">
        <w:rPr>
          <w:rFonts w:ascii="Times New Roman" w:hAnsi="Times New Roman" w:cs="Times New Roman"/>
          <w:b/>
          <w:sz w:val="24"/>
          <w:szCs w:val="24"/>
        </w:rPr>
        <w:t xml:space="preserve">vybudovanie </w:t>
      </w:r>
      <w:proofErr w:type="spellStart"/>
      <w:r w:rsidR="00B14799" w:rsidRPr="00F80015">
        <w:rPr>
          <w:rFonts w:ascii="Times New Roman" w:hAnsi="Times New Roman" w:cs="Times New Roman"/>
          <w:b/>
          <w:sz w:val="24"/>
          <w:szCs w:val="24"/>
        </w:rPr>
        <w:t>vodozádržných</w:t>
      </w:r>
      <w:proofErr w:type="spellEnd"/>
      <w:r w:rsidR="00B14799" w:rsidRPr="00F80015">
        <w:rPr>
          <w:rFonts w:ascii="Times New Roman" w:hAnsi="Times New Roman" w:cs="Times New Roman"/>
          <w:b/>
          <w:sz w:val="24"/>
          <w:szCs w:val="24"/>
        </w:rPr>
        <w:t xml:space="preserve"> opatrení mimoriadne priaznivo ovplyvnilo odtokové pomery v</w:t>
      </w:r>
      <w:r w:rsidR="00D86E90" w:rsidRPr="00F80015">
        <w:rPr>
          <w:rFonts w:ascii="Times New Roman" w:hAnsi="Times New Roman" w:cs="Times New Roman"/>
          <w:b/>
          <w:sz w:val="24"/>
          <w:szCs w:val="24"/>
        </w:rPr>
        <w:t> </w:t>
      </w:r>
      <w:r w:rsidR="00B14799" w:rsidRPr="00F80015">
        <w:rPr>
          <w:rFonts w:ascii="Times New Roman" w:hAnsi="Times New Roman" w:cs="Times New Roman"/>
          <w:b/>
          <w:sz w:val="24"/>
          <w:szCs w:val="24"/>
        </w:rPr>
        <w:t>katastri</w:t>
      </w:r>
      <w:r w:rsidR="00D86E90" w:rsidRPr="00F80015">
        <w:rPr>
          <w:rFonts w:ascii="Times New Roman" w:hAnsi="Times New Roman" w:cs="Times New Roman"/>
          <w:b/>
          <w:sz w:val="24"/>
          <w:szCs w:val="24"/>
        </w:rPr>
        <w:t>, takže v mnohých obciach došlo zmierneniu priebehu povodní</w:t>
      </w:r>
      <w:r w:rsidR="00B14799" w:rsidRPr="00F80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90" w:rsidRPr="00F80015">
        <w:rPr>
          <w:rFonts w:ascii="Times New Roman" w:hAnsi="Times New Roman" w:cs="Times New Roman"/>
          <w:b/>
          <w:sz w:val="24"/>
          <w:szCs w:val="24"/>
        </w:rPr>
        <w:t>alebo k ich úplnému zabráneniu</w:t>
      </w:r>
      <w:r w:rsidR="00F80015">
        <w:rPr>
          <w:rFonts w:ascii="Times New Roman" w:hAnsi="Times New Roman" w:cs="Times New Roman"/>
          <w:sz w:val="24"/>
          <w:szCs w:val="24"/>
        </w:rPr>
        <w:t>.</w:t>
      </w:r>
      <w:r w:rsidR="00D86E90" w:rsidRPr="00317C3C">
        <w:rPr>
          <w:rFonts w:ascii="Times New Roman" w:hAnsi="Times New Roman" w:cs="Times New Roman"/>
          <w:sz w:val="24"/>
          <w:szCs w:val="24"/>
        </w:rPr>
        <w:t xml:space="preserve"> </w:t>
      </w:r>
      <w:r w:rsidR="006B0324">
        <w:rPr>
          <w:rFonts w:ascii="Times New Roman" w:hAnsi="Times New Roman" w:cs="Times New Roman"/>
          <w:sz w:val="24"/>
          <w:szCs w:val="24"/>
        </w:rPr>
        <w:t>Svedectvo presvedčivého počtu starostov o</w:t>
      </w:r>
      <w:r w:rsidR="005129A1">
        <w:rPr>
          <w:rFonts w:ascii="Times New Roman" w:hAnsi="Times New Roman" w:cs="Times New Roman"/>
          <w:sz w:val="24"/>
          <w:szCs w:val="24"/>
        </w:rPr>
        <w:t> zmiernení priebehu povodní dáva pádnu odpoveď kritikom, ktorí tvrdili, že program „neprispieva k protipovodňovej ochrane krajiny“</w:t>
      </w:r>
      <w:r w:rsidR="005129A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a kritizovali </w:t>
      </w:r>
      <w:r w:rsidR="00B1479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finančnú efektívnosť programu. </w:t>
      </w:r>
    </w:p>
    <w:p w:rsidR="00486964" w:rsidRDefault="00486964" w:rsidP="00581330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5B9E8B2C" wp14:editId="6C4DEE6C">
            <wp:simplePos x="0" y="0"/>
            <wp:positionH relativeFrom="column">
              <wp:posOffset>3810</wp:posOffset>
            </wp:positionH>
            <wp:positionV relativeFrom="paragraph">
              <wp:posOffset>-31750</wp:posOffset>
            </wp:positionV>
            <wp:extent cx="622935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Chart 3" title="Aký vplyv mali revitalizačné opatrenia pri obdobných zrážkach ako v minulosti v katastri Vašej obce?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9CF" w:rsidRPr="00317C3C" w:rsidRDefault="00F80015" w:rsidP="00581330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D0F9F09" wp14:editId="5B551281">
            <wp:simplePos x="0" y="0"/>
            <wp:positionH relativeFrom="column">
              <wp:posOffset>3331845</wp:posOffset>
            </wp:positionH>
            <wp:positionV relativeFrom="paragraph">
              <wp:posOffset>56515</wp:posOffset>
            </wp:positionV>
            <wp:extent cx="2846070" cy="2592070"/>
            <wp:effectExtent l="0" t="0" r="11430" b="17780"/>
            <wp:wrapTight wrapText="bothSides">
              <wp:wrapPolygon edited="0">
                <wp:start x="0" y="0"/>
                <wp:lineTo x="0" y="21589"/>
                <wp:lineTo x="21542" y="21589"/>
                <wp:lineTo x="21542" y="0"/>
                <wp:lineTo x="0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9CF" w:rsidRPr="000979CF">
        <w:rPr>
          <w:rFonts w:ascii="Times New Roman" w:hAnsi="Times New Roman" w:cs="Times New Roman"/>
          <w:i/>
          <w:sz w:val="24"/>
          <w:szCs w:val="24"/>
        </w:rPr>
        <w:t>Náklady na odstraňovanie povodňových škôd.</w:t>
      </w:r>
      <w:r w:rsidR="009958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Keďže revitalizačné opatrenia boli budované najmä v obciach s vysokým rizikom povodní, </w:t>
      </w:r>
      <w:r w:rsidRPr="00F80015">
        <w:rPr>
          <w:rFonts w:ascii="Times New Roman" w:hAnsi="Times New Roman" w:cs="Times New Roman"/>
          <w:sz w:val="24"/>
          <w:szCs w:val="24"/>
        </w:rPr>
        <w:t xml:space="preserve">priemerné ročné škody na majetku obce a občanov </w:t>
      </w:r>
      <w:r>
        <w:rPr>
          <w:rFonts w:ascii="Times New Roman" w:hAnsi="Times New Roman" w:cs="Times New Roman"/>
          <w:sz w:val="24"/>
          <w:szCs w:val="24"/>
        </w:rPr>
        <w:t>dosahovali</w:t>
      </w:r>
      <w:r w:rsidRPr="00F80015">
        <w:rPr>
          <w:rFonts w:ascii="Times New Roman" w:hAnsi="Times New Roman" w:cs="Times New Roman"/>
          <w:sz w:val="24"/>
          <w:szCs w:val="24"/>
        </w:rPr>
        <w:t xml:space="preserve"> podľa starostov v minulosti vyše 30 000 €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330">
        <w:rPr>
          <w:rFonts w:ascii="Times New Roman" w:hAnsi="Times New Roman" w:cs="Times New Roman"/>
          <w:sz w:val="24"/>
          <w:szCs w:val="24"/>
        </w:rPr>
        <w:t>V</w:t>
      </w:r>
      <w:r w:rsidR="00AB7232">
        <w:rPr>
          <w:rFonts w:ascii="Times New Roman" w:hAnsi="Times New Roman" w:cs="Times New Roman"/>
          <w:sz w:val="24"/>
          <w:szCs w:val="24"/>
        </w:rPr>
        <w:t> </w:t>
      </w:r>
      <w:r w:rsidR="00581330">
        <w:rPr>
          <w:rFonts w:ascii="Times New Roman" w:hAnsi="Times New Roman" w:cs="Times New Roman"/>
          <w:sz w:val="24"/>
          <w:szCs w:val="24"/>
        </w:rPr>
        <w:t>obciach</w:t>
      </w:r>
      <w:r w:rsidR="00AB7232">
        <w:rPr>
          <w:rFonts w:ascii="Times New Roman" w:hAnsi="Times New Roman" w:cs="Times New Roman"/>
          <w:sz w:val="24"/>
          <w:szCs w:val="24"/>
        </w:rPr>
        <w:t>,</w:t>
      </w:r>
      <w:r w:rsidR="00581330">
        <w:rPr>
          <w:rFonts w:ascii="Times New Roman" w:hAnsi="Times New Roman" w:cs="Times New Roman"/>
          <w:sz w:val="24"/>
          <w:szCs w:val="24"/>
        </w:rPr>
        <w:t xml:space="preserve"> kde sa od vybudovania opatrení vyskytli </w:t>
      </w:r>
      <w:r w:rsidR="00AB7232">
        <w:rPr>
          <w:rFonts w:ascii="Times New Roman" w:hAnsi="Times New Roman" w:cs="Times New Roman"/>
          <w:sz w:val="24"/>
          <w:szCs w:val="24"/>
        </w:rPr>
        <w:t>zrážky, ktoré v minulosti spôsobovali povodne</w:t>
      </w:r>
      <w:r w:rsidR="00581330">
        <w:rPr>
          <w:rFonts w:ascii="Times New Roman" w:hAnsi="Times New Roman" w:cs="Times New Roman"/>
          <w:sz w:val="24"/>
          <w:szCs w:val="24"/>
        </w:rPr>
        <w:t>, dosiahli v</w:t>
      </w:r>
      <w:r w:rsidRPr="00F80015">
        <w:rPr>
          <w:rFonts w:ascii="Times New Roman" w:hAnsi="Times New Roman" w:cs="Times New Roman"/>
          <w:sz w:val="24"/>
          <w:szCs w:val="24"/>
        </w:rPr>
        <w:t xml:space="preserve"> roku 2013 </w:t>
      </w:r>
      <w:r w:rsidR="00581330">
        <w:rPr>
          <w:rFonts w:ascii="Times New Roman" w:hAnsi="Times New Roman" w:cs="Times New Roman"/>
          <w:sz w:val="24"/>
          <w:szCs w:val="24"/>
        </w:rPr>
        <w:t xml:space="preserve">priemerné </w:t>
      </w:r>
      <w:r>
        <w:rPr>
          <w:rFonts w:ascii="Times New Roman" w:hAnsi="Times New Roman" w:cs="Times New Roman"/>
          <w:sz w:val="24"/>
          <w:szCs w:val="24"/>
        </w:rPr>
        <w:t xml:space="preserve">škody spôsobené povodňami dosahovali </w:t>
      </w:r>
      <w:r w:rsidRPr="00F80015">
        <w:rPr>
          <w:rFonts w:ascii="Times New Roman" w:hAnsi="Times New Roman" w:cs="Times New Roman"/>
          <w:sz w:val="24"/>
          <w:szCs w:val="24"/>
        </w:rPr>
        <w:t xml:space="preserve">len </w:t>
      </w:r>
      <w:r>
        <w:rPr>
          <w:rFonts w:ascii="Times New Roman" w:hAnsi="Times New Roman" w:cs="Times New Roman"/>
          <w:sz w:val="24"/>
          <w:szCs w:val="24"/>
        </w:rPr>
        <w:t>vyše 6 </w:t>
      </w:r>
      <w:r w:rsidRPr="00F80015">
        <w:rPr>
          <w:rFonts w:ascii="Times New Roman" w:hAnsi="Times New Roman" w:cs="Times New Roman"/>
          <w:sz w:val="24"/>
          <w:szCs w:val="24"/>
        </w:rPr>
        <w:t xml:space="preserve">000 €. </w:t>
      </w:r>
      <w:r w:rsidRPr="00F80015">
        <w:rPr>
          <w:rFonts w:ascii="Times New Roman" w:hAnsi="Times New Roman" w:cs="Times New Roman"/>
          <w:b/>
          <w:sz w:val="24"/>
          <w:szCs w:val="24"/>
        </w:rPr>
        <w:t xml:space="preserve">Prvé </w:t>
      </w:r>
      <w:proofErr w:type="spellStart"/>
      <w:r w:rsidRPr="00F80015">
        <w:rPr>
          <w:rFonts w:ascii="Times New Roman" w:hAnsi="Times New Roman" w:cs="Times New Roman"/>
          <w:b/>
          <w:sz w:val="24"/>
          <w:szCs w:val="24"/>
        </w:rPr>
        <w:t>výsledký</w:t>
      </w:r>
      <w:proofErr w:type="spellEnd"/>
      <w:r w:rsidRPr="00F80015">
        <w:rPr>
          <w:rFonts w:ascii="Times New Roman" w:hAnsi="Times New Roman" w:cs="Times New Roman"/>
          <w:b/>
          <w:sz w:val="24"/>
          <w:szCs w:val="24"/>
        </w:rPr>
        <w:t xml:space="preserve"> tak ukazujú, že revitalizačné opatrenia môžu znížiť škody zapríčinené povodňami až o 4/5</w:t>
      </w:r>
      <w:r w:rsidRPr="00F80015">
        <w:rPr>
          <w:rFonts w:ascii="Times New Roman" w:hAnsi="Times New Roman" w:cs="Times New Roman"/>
          <w:sz w:val="24"/>
          <w:szCs w:val="24"/>
        </w:rPr>
        <w:t>. Priemerné náklady na vybudovanie revitalizačných opatrení v jednej obci boli 51 422 €. Investícia do revitalizačných opatrení by sa tak obciam mohla vrátiť už za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F80015">
        <w:rPr>
          <w:rFonts w:ascii="Times New Roman" w:hAnsi="Times New Roman" w:cs="Times New Roman"/>
          <w:sz w:val="24"/>
          <w:szCs w:val="24"/>
        </w:rPr>
        <w:t xml:space="preserve"> roky s výdatnými zrážkami.</w:t>
      </w:r>
    </w:p>
    <w:p w:rsidR="009C6C10" w:rsidRDefault="009C6C10" w:rsidP="009C6C1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99">
        <w:rPr>
          <w:rFonts w:ascii="Times New Roman" w:hAnsi="Times New Roman" w:cs="Times New Roman"/>
          <w:i/>
          <w:sz w:val="24"/>
          <w:szCs w:val="24"/>
        </w:rPr>
        <w:t>Vplyv opatrení na riziko sucha.</w:t>
      </w:r>
      <w:r>
        <w:rPr>
          <w:rFonts w:ascii="Times New Roman" w:hAnsi="Times New Roman" w:cs="Times New Roman"/>
          <w:sz w:val="24"/>
          <w:szCs w:val="24"/>
        </w:rPr>
        <w:t xml:space="preserve"> Sucho všeobecne spôsobuje väčšie hospodárske škody ako povodne. K týmto škodám dochádza nebadanejšie a ťažšie sa vyčísľujú. Možno aj preto u nás nemáme vypracované a neuplatňujeme sofistikované </w:t>
      </w:r>
      <w:r w:rsidRPr="006D7368">
        <w:rPr>
          <w:rFonts w:ascii="Times New Roman" w:hAnsi="Times New Roman" w:cs="Times New Roman"/>
          <w:sz w:val="24"/>
          <w:szCs w:val="24"/>
        </w:rPr>
        <w:t>postupy ako suchu čeliť</w:t>
      </w:r>
      <w:r>
        <w:rPr>
          <w:rFonts w:ascii="Times New Roman" w:hAnsi="Times New Roman" w:cs="Times New Roman"/>
          <w:sz w:val="24"/>
          <w:szCs w:val="24"/>
        </w:rPr>
        <w:t>. Európska komisia v jednom zo svojich dokumentov, ktoré odporúčajú využívanie „prírode blízkych opatrení“ na boj s extrémami počasia, píše: „</w:t>
      </w:r>
      <w:r w:rsidRPr="009958A8">
        <w:rPr>
          <w:rFonts w:ascii="Times New Roman" w:hAnsi="Times New Roman" w:cs="Times New Roman"/>
          <w:noProof/>
          <w:sz w:val="24"/>
          <w:szCs w:val="24"/>
        </w:rPr>
        <w:t>K opatreniam, ktoré môžu veľkou mierou prispieť k obmedzeniu negatívnych účinkov záplav a súch, patrí zelen</w:t>
      </w:r>
      <w:r>
        <w:rPr>
          <w:rFonts w:ascii="Times New Roman" w:hAnsi="Times New Roman" w:cs="Times New Roman"/>
          <w:noProof/>
          <w:sz w:val="24"/>
          <w:szCs w:val="24"/>
        </w:rPr>
        <w:t>á infraštruktúra, najmä prírode blízke</w:t>
      </w:r>
      <w:r w:rsidRPr="009958A8">
        <w:rPr>
          <w:rFonts w:ascii="Times New Roman" w:hAnsi="Times New Roman" w:cs="Times New Roman"/>
          <w:noProof/>
          <w:sz w:val="24"/>
          <w:szCs w:val="24"/>
        </w:rPr>
        <w:t xml:space="preserve"> opatrenia na zadržiavanie vody.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>
        <w:rPr>
          <w:rStyle w:val="Odkaznapoznmkupodiarou"/>
          <w:rFonts w:ascii="Times New Roman" w:hAnsi="Times New Roman" w:cs="Times New Roman"/>
          <w:noProof/>
          <w:sz w:val="24"/>
          <w:szCs w:val="24"/>
        </w:rPr>
        <w:footnoteReference w:id="5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Odpovede starostov naznačujú, že vybudované </w:t>
      </w:r>
      <w:proofErr w:type="spellStart"/>
      <w:r w:rsidRPr="00486964">
        <w:rPr>
          <w:rFonts w:ascii="Times New Roman" w:hAnsi="Times New Roman" w:cs="Times New Roman"/>
          <w:b/>
          <w:sz w:val="24"/>
          <w:szCs w:val="24"/>
        </w:rPr>
        <w:t>vodozádržné</w:t>
      </w:r>
      <w:proofErr w:type="spellEnd"/>
      <w:r w:rsidRPr="00486964">
        <w:rPr>
          <w:rFonts w:ascii="Times New Roman" w:hAnsi="Times New Roman" w:cs="Times New Roman"/>
          <w:b/>
          <w:sz w:val="24"/>
          <w:szCs w:val="24"/>
        </w:rPr>
        <w:t xml:space="preserve"> opatrenia majú pozitívny vplyv na pôdnu vlhkosť a zásoby podzemnej vody.</w:t>
      </w:r>
    </w:p>
    <w:p w:rsidR="00486964" w:rsidRDefault="009C6C10" w:rsidP="00486964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7456" behindDoc="1" locked="0" layoutInCell="1" allowOverlap="1" wp14:anchorId="3417B92F" wp14:editId="0D281A97">
            <wp:simplePos x="0" y="0"/>
            <wp:positionH relativeFrom="column">
              <wp:posOffset>13335</wp:posOffset>
            </wp:positionH>
            <wp:positionV relativeFrom="paragraph">
              <wp:posOffset>1449705</wp:posOffset>
            </wp:positionV>
            <wp:extent cx="6146165" cy="2957830"/>
            <wp:effectExtent l="0" t="0" r="26035" b="13970"/>
            <wp:wrapTight wrapText="bothSides">
              <wp:wrapPolygon edited="0">
                <wp:start x="0" y="0"/>
                <wp:lineTo x="0" y="21563"/>
                <wp:lineTo x="21625" y="21563"/>
                <wp:lineTo x="21625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64" w:rsidRPr="004B0901">
        <w:rPr>
          <w:rFonts w:ascii="Times New Roman" w:hAnsi="Times New Roman" w:cs="Times New Roman"/>
          <w:i/>
          <w:sz w:val="24"/>
          <w:szCs w:val="24"/>
        </w:rPr>
        <w:t xml:space="preserve">Dopad opatrení na sociálnu situáciu v obci. </w:t>
      </w:r>
      <w:r w:rsidR="00486964" w:rsidRPr="00C42445">
        <w:rPr>
          <w:rFonts w:ascii="Times New Roman" w:hAnsi="Times New Roman" w:cs="Times New Roman"/>
          <w:b/>
          <w:sz w:val="24"/>
          <w:szCs w:val="24"/>
        </w:rPr>
        <w:t>Starostovia mimoriadne pozitívne hodnotili vplyv revitalizačných opatrení vykonávaných miestnymi silami na riešenie nezamestnanosti v obci</w:t>
      </w:r>
      <w:r w:rsidR="00486964">
        <w:rPr>
          <w:rFonts w:ascii="Times New Roman" w:hAnsi="Times New Roman" w:cs="Times New Roman"/>
          <w:sz w:val="24"/>
          <w:szCs w:val="24"/>
        </w:rPr>
        <w:t xml:space="preserve">. Pri hodnotení konkrétnych vplyvov </w:t>
      </w:r>
      <w:r w:rsidR="00486964" w:rsidRPr="001C616B">
        <w:rPr>
          <w:rFonts w:ascii="Times New Roman" w:hAnsi="Times New Roman" w:cs="Times New Roman"/>
          <w:sz w:val="24"/>
          <w:szCs w:val="24"/>
        </w:rPr>
        <w:t>na</w:t>
      </w:r>
      <w:r w:rsidR="0048696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86964">
        <w:rPr>
          <w:rFonts w:ascii="Times New Roman" w:hAnsi="Times New Roman" w:cs="Times New Roman"/>
          <w:sz w:val="24"/>
          <w:szCs w:val="24"/>
        </w:rPr>
        <w:t>sociálnu situáciu v obci najviac rezonovalo zapojenie dlhodobo nezamestnaných do života obce, ale vysoko boli hodnotené i ostatné podobné aspekty práce, užitočnosti, „hrdosti na dielo svojich rúk,“ bezpečia, súdržnosti a pod. (zvýšenie</w:t>
      </w:r>
      <w:r w:rsidR="00486964" w:rsidRPr="00750C7B">
        <w:rPr>
          <w:rFonts w:ascii="Times New Roman" w:hAnsi="Times New Roman" w:cs="Times New Roman"/>
          <w:sz w:val="24"/>
          <w:szCs w:val="24"/>
        </w:rPr>
        <w:t xml:space="preserve"> </w:t>
      </w:r>
      <w:r w:rsidR="00486964">
        <w:rPr>
          <w:rFonts w:ascii="Times New Roman" w:hAnsi="Times New Roman" w:cs="Times New Roman"/>
          <w:bCs/>
          <w:sz w:val="24"/>
          <w:szCs w:val="24"/>
        </w:rPr>
        <w:t xml:space="preserve">zamestnanosti – 92, </w:t>
      </w:r>
      <w:r w:rsidR="00486964">
        <w:rPr>
          <w:rFonts w:ascii="Times New Roman" w:hAnsi="Times New Roman" w:cs="Times New Roman"/>
          <w:sz w:val="24"/>
          <w:szCs w:val="24"/>
        </w:rPr>
        <w:t xml:space="preserve">zvýšenie </w:t>
      </w:r>
      <w:r w:rsidR="00486964">
        <w:rPr>
          <w:rFonts w:ascii="Times New Roman" w:hAnsi="Times New Roman" w:cs="Times New Roman"/>
          <w:bCs/>
          <w:sz w:val="24"/>
          <w:szCs w:val="24"/>
        </w:rPr>
        <w:t>pocitu</w:t>
      </w:r>
      <w:r w:rsidR="00486964" w:rsidRPr="00750C7B">
        <w:rPr>
          <w:rFonts w:ascii="Times New Roman" w:hAnsi="Times New Roman" w:cs="Times New Roman"/>
          <w:bCs/>
          <w:sz w:val="24"/>
          <w:szCs w:val="24"/>
        </w:rPr>
        <w:t xml:space="preserve"> bezpečia </w:t>
      </w:r>
      <w:r w:rsidR="00486964">
        <w:rPr>
          <w:rFonts w:ascii="Times New Roman" w:hAnsi="Times New Roman" w:cs="Times New Roman"/>
          <w:bCs/>
          <w:sz w:val="24"/>
          <w:szCs w:val="24"/>
        </w:rPr>
        <w:t xml:space="preserve">medzi obyvateľmi – 128, </w:t>
      </w:r>
      <w:r w:rsidR="00486964">
        <w:rPr>
          <w:rFonts w:ascii="Times New Roman" w:hAnsi="Times New Roman" w:cs="Times New Roman"/>
          <w:sz w:val="24"/>
          <w:szCs w:val="24"/>
        </w:rPr>
        <w:t xml:space="preserve">zapojenie dlhodobo nezamestnaných do života obce – 174, zvýšenie </w:t>
      </w:r>
      <w:r w:rsidR="00486964">
        <w:rPr>
          <w:rFonts w:ascii="Times New Roman" w:hAnsi="Times New Roman" w:cs="Times New Roman"/>
          <w:bCs/>
          <w:sz w:val="24"/>
          <w:szCs w:val="24"/>
        </w:rPr>
        <w:t>súdržnosti obyvateľov – 55).</w:t>
      </w:r>
    </w:p>
    <w:p w:rsidR="00486964" w:rsidRDefault="00486964" w:rsidP="00486964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8E9">
        <w:rPr>
          <w:rFonts w:ascii="Times New Roman" w:hAnsi="Times New Roman" w:cs="Times New Roman"/>
          <w:i/>
          <w:sz w:val="24"/>
          <w:szCs w:val="24"/>
        </w:rPr>
        <w:t>Dopady na ekonomický rozvoj obce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Európska komisia tvrdí, že „z</w:t>
      </w:r>
      <w:r w:rsidRPr="00710E1B">
        <w:rPr>
          <w:rFonts w:ascii="Times New Roman" w:hAnsi="Times New Roman" w:cs="Times New Roman"/>
          <w:bCs/>
          <w:sz w:val="24"/>
          <w:szCs w:val="24"/>
        </w:rPr>
        <w:t xml:space="preserve">elená infraštruktúra je úspešne odskúšaný prostriedok získavania ekologických, ekonomických a sociálnych </w:t>
      </w:r>
      <w:proofErr w:type="spellStart"/>
      <w:r w:rsidRPr="00710E1B">
        <w:rPr>
          <w:rFonts w:ascii="Times New Roman" w:hAnsi="Times New Roman" w:cs="Times New Roman"/>
          <w:bCs/>
          <w:sz w:val="24"/>
          <w:szCs w:val="24"/>
        </w:rPr>
        <w:t>benefitov</w:t>
      </w:r>
      <w:proofErr w:type="spellEnd"/>
      <w:r w:rsidRPr="00710E1B">
        <w:rPr>
          <w:rFonts w:ascii="Times New Roman" w:hAnsi="Times New Roman" w:cs="Times New Roman"/>
          <w:bCs/>
          <w:sz w:val="24"/>
          <w:szCs w:val="24"/>
        </w:rPr>
        <w:t xml:space="preserve"> prostredníctvom prírode blízkych riešení...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10E1B">
        <w:rPr>
          <w:rFonts w:ascii="Times New Roman" w:hAnsi="Times New Roman" w:cs="Times New Roman"/>
          <w:bCs/>
          <w:sz w:val="24"/>
          <w:szCs w:val="24"/>
        </w:rPr>
        <w:t>nohé z nich vytvárajú miestne pracovné príležitosti.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6"/>
      </w:r>
      <w:r w:rsidRPr="00710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Ďalšie bloky otázok sa zamerali práve na tieto aspekty programu revitalizácie</w:t>
      </w:r>
      <w:r w:rsidRPr="00486964"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Pr="00486964">
        <w:rPr>
          <w:rFonts w:ascii="Times New Roman" w:hAnsi="Times New Roman" w:cs="Times New Roman"/>
          <w:b/>
          <w:sz w:val="24"/>
          <w:szCs w:val="24"/>
        </w:rPr>
        <w:t>tarostovia hodnotili vplyv revitalizačných opatrení na ekonomický rozvoj ich obce mierne až veľmi pozitívne.</w:t>
      </w:r>
      <w:r>
        <w:rPr>
          <w:rFonts w:ascii="Times New Roman" w:hAnsi="Times New Roman" w:cs="Times New Roman"/>
          <w:sz w:val="24"/>
          <w:szCs w:val="24"/>
        </w:rPr>
        <w:t xml:space="preserve"> Rozmenené na drobné: prekvapil vysoký počet obcí (70 obcí) ktoré uviedli, že zadržiavanie vody u nich plní </w:t>
      </w:r>
      <w:r w:rsidRPr="00750C7B">
        <w:rPr>
          <w:rFonts w:ascii="Times New Roman" w:hAnsi="Times New Roman" w:cs="Times New Roman"/>
          <w:bCs/>
          <w:sz w:val="24"/>
          <w:szCs w:val="24"/>
        </w:rPr>
        <w:t>protipožiarne funkcie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39 obcí podľa odpovedí starostov zaznamenalo zvýšený rozvoj</w:t>
      </w:r>
      <w:r>
        <w:rPr>
          <w:rFonts w:ascii="Times New Roman" w:hAnsi="Times New Roman" w:cs="Times New Roman"/>
          <w:bCs/>
          <w:sz w:val="24"/>
          <w:szCs w:val="24"/>
        </w:rPr>
        <w:t xml:space="preserve"> poľnohospodárskej/lesnej produkcie; 38 obcí </w:t>
      </w:r>
      <w:r>
        <w:rPr>
          <w:rFonts w:ascii="Times New Roman" w:hAnsi="Times New Roman" w:cs="Times New Roman"/>
          <w:sz w:val="24"/>
          <w:szCs w:val="24"/>
        </w:rPr>
        <w:t xml:space="preserve">zvýšenie </w:t>
      </w:r>
      <w:r w:rsidRPr="00750C7B">
        <w:rPr>
          <w:rFonts w:ascii="Times New Roman" w:hAnsi="Times New Roman" w:cs="Times New Roman"/>
          <w:bCs/>
          <w:sz w:val="24"/>
          <w:szCs w:val="24"/>
        </w:rPr>
        <w:t>kvalit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750C7B">
        <w:rPr>
          <w:rFonts w:ascii="Times New Roman" w:hAnsi="Times New Roman" w:cs="Times New Roman"/>
          <w:bCs/>
          <w:sz w:val="24"/>
          <w:szCs w:val="24"/>
        </w:rPr>
        <w:t>/organick</w:t>
      </w:r>
      <w:r>
        <w:rPr>
          <w:rFonts w:ascii="Times New Roman" w:hAnsi="Times New Roman" w:cs="Times New Roman"/>
          <w:bCs/>
          <w:sz w:val="24"/>
          <w:szCs w:val="24"/>
        </w:rPr>
        <w:t>ého</w:t>
      </w:r>
      <w:r w:rsidRPr="00750C7B">
        <w:rPr>
          <w:rFonts w:ascii="Times New Roman" w:hAnsi="Times New Roman" w:cs="Times New Roman"/>
          <w:bCs/>
          <w:sz w:val="24"/>
          <w:szCs w:val="24"/>
        </w:rPr>
        <w:t xml:space="preserve"> obsah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750C7B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50C7B">
        <w:rPr>
          <w:rFonts w:ascii="Times New Roman" w:hAnsi="Times New Roman" w:cs="Times New Roman"/>
          <w:bCs/>
          <w:sz w:val="24"/>
          <w:szCs w:val="24"/>
        </w:rPr>
        <w:t>pôde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38 obcí využíva </w:t>
      </w:r>
      <w:r w:rsidRPr="00750C7B">
        <w:rPr>
          <w:rFonts w:ascii="Times New Roman" w:hAnsi="Times New Roman" w:cs="Times New Roman"/>
          <w:bCs/>
          <w:sz w:val="24"/>
          <w:szCs w:val="24"/>
        </w:rPr>
        <w:t>zadržan</w:t>
      </w:r>
      <w:r>
        <w:rPr>
          <w:rFonts w:ascii="Times New Roman" w:hAnsi="Times New Roman" w:cs="Times New Roman"/>
          <w:bCs/>
          <w:sz w:val="24"/>
          <w:szCs w:val="24"/>
        </w:rPr>
        <w:t>ú vodu ako</w:t>
      </w:r>
      <w:r w:rsidRPr="00750C7B">
        <w:rPr>
          <w:rFonts w:ascii="Times New Roman" w:hAnsi="Times New Roman" w:cs="Times New Roman"/>
          <w:bCs/>
          <w:sz w:val="24"/>
          <w:szCs w:val="24"/>
        </w:rPr>
        <w:t xml:space="preserve"> úžitkov</w:t>
      </w:r>
      <w:r>
        <w:rPr>
          <w:rFonts w:ascii="Times New Roman" w:hAnsi="Times New Roman" w:cs="Times New Roman"/>
          <w:bCs/>
          <w:sz w:val="24"/>
          <w:szCs w:val="24"/>
        </w:rPr>
        <w:t>ú; 36 obcí hlásilo zvýšené vytváranie biomasy; v 22 obciach opatrenia prispeli k rozvoju agroturistiky; v 12 obciach zaznamenali zhodnotenie pôdy vo forme zvýšenia cien pozemkov (</w:t>
      </w:r>
      <w:r w:rsidRPr="001C616B">
        <w:rPr>
          <w:rFonts w:ascii="Times New Roman" w:hAnsi="Times New Roman" w:cs="Times New Roman"/>
          <w:bCs/>
          <w:sz w:val="24"/>
          <w:szCs w:val="24"/>
        </w:rPr>
        <w:t>aj</w:t>
      </w:r>
      <w:r>
        <w:rPr>
          <w:rFonts w:ascii="Times New Roman" w:hAnsi="Times New Roman" w:cs="Times New Roman"/>
          <w:bCs/>
          <w:sz w:val="24"/>
          <w:szCs w:val="24"/>
        </w:rPr>
        <w:t xml:space="preserve"> objektov, ktoré boli v minulosti zatápané/podmáčané a teraz ich možno využívať napr. na výrobu). Medzi ďalším dopadmi uvádzanými obcami sú protierózne účinky, </w:t>
      </w:r>
      <w:r w:rsidRPr="004F423D">
        <w:rPr>
          <w:rFonts w:ascii="Times New Roman" w:hAnsi="Times New Roman" w:cs="Times New Roman"/>
          <w:bCs/>
          <w:sz w:val="24"/>
          <w:szCs w:val="24"/>
        </w:rPr>
        <w:t>znížené náklady na čistenie potoka od nánosov</w:t>
      </w:r>
      <w:r>
        <w:rPr>
          <w:rFonts w:ascii="Times New Roman" w:hAnsi="Times New Roman" w:cs="Times New Roman"/>
          <w:bCs/>
          <w:sz w:val="24"/>
          <w:szCs w:val="24"/>
        </w:rPr>
        <w:t>, s</w:t>
      </w:r>
      <w:r w:rsidRPr="00C42445">
        <w:rPr>
          <w:rFonts w:ascii="Times New Roman" w:hAnsi="Times New Roman" w:cs="Times New Roman"/>
          <w:bCs/>
          <w:sz w:val="24"/>
          <w:szCs w:val="24"/>
        </w:rPr>
        <w:t>kutočnosť, že dotačné peniaze boli využité v obci pre občanov cez občanov,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23D">
        <w:rPr>
          <w:rFonts w:ascii="Times New Roman" w:hAnsi="Times New Roman" w:cs="Times New Roman"/>
          <w:bCs/>
          <w:sz w:val="24"/>
          <w:szCs w:val="24"/>
        </w:rPr>
        <w:t>krajino</w:t>
      </w:r>
      <w:r>
        <w:rPr>
          <w:rFonts w:ascii="Times New Roman" w:hAnsi="Times New Roman" w:cs="Times New Roman"/>
          <w:bCs/>
          <w:sz w:val="24"/>
          <w:szCs w:val="24"/>
        </w:rPr>
        <w:t>tvorba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4063E" w:rsidRDefault="0014063E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1D">
        <w:rPr>
          <w:rFonts w:ascii="Times New Roman" w:hAnsi="Times New Roman" w:cs="Times New Roman"/>
          <w:i/>
          <w:sz w:val="24"/>
          <w:szCs w:val="24"/>
        </w:rPr>
        <w:t>Vplyv opatrení na obnovu biodiverzity</w:t>
      </w:r>
      <w:r w:rsidR="00CE2C1D">
        <w:rPr>
          <w:rFonts w:ascii="Times New Roman" w:hAnsi="Times New Roman" w:cs="Times New Roman"/>
          <w:i/>
          <w:sz w:val="24"/>
          <w:szCs w:val="24"/>
        </w:rPr>
        <w:t>.</w:t>
      </w:r>
      <w:r w:rsidR="00CE2C1D">
        <w:rPr>
          <w:rFonts w:ascii="Times New Roman" w:hAnsi="Times New Roman" w:cs="Times New Roman"/>
          <w:sz w:val="24"/>
          <w:szCs w:val="24"/>
        </w:rPr>
        <w:t xml:space="preserve"> </w:t>
      </w:r>
      <w:r w:rsidR="00A07522">
        <w:rPr>
          <w:rFonts w:ascii="Times New Roman" w:hAnsi="Times New Roman" w:cs="Times New Roman"/>
          <w:sz w:val="24"/>
          <w:szCs w:val="24"/>
        </w:rPr>
        <w:t>V dokumentoch EK sa v súvislosti s prírode blízkymi metódami za</w:t>
      </w:r>
      <w:r w:rsidR="004F423D">
        <w:rPr>
          <w:rFonts w:ascii="Times New Roman" w:hAnsi="Times New Roman" w:cs="Times New Roman"/>
          <w:sz w:val="24"/>
          <w:szCs w:val="24"/>
        </w:rPr>
        <w:t xml:space="preserve">držiavania vody často skloňuje </w:t>
      </w:r>
      <w:r w:rsidR="00A07522">
        <w:rPr>
          <w:rFonts w:ascii="Times New Roman" w:hAnsi="Times New Roman" w:cs="Times New Roman"/>
          <w:sz w:val="24"/>
          <w:szCs w:val="24"/>
        </w:rPr>
        <w:t> slovo biodiverzita.</w:t>
      </w:r>
      <w:r w:rsidR="00A0752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A07522">
        <w:rPr>
          <w:rFonts w:ascii="Times New Roman" w:hAnsi="Times New Roman" w:cs="Times New Roman"/>
          <w:sz w:val="24"/>
          <w:szCs w:val="24"/>
        </w:rPr>
        <w:t xml:space="preserve"> </w:t>
      </w:r>
      <w:r w:rsidR="00325FDF" w:rsidRPr="00486964">
        <w:rPr>
          <w:rFonts w:ascii="Times New Roman" w:hAnsi="Times New Roman" w:cs="Times New Roman"/>
          <w:b/>
          <w:sz w:val="24"/>
          <w:szCs w:val="24"/>
        </w:rPr>
        <w:t>S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 xml:space="preserve">tarostovia </w:t>
      </w:r>
      <w:r w:rsidR="00325FDF" w:rsidRPr="00486964">
        <w:rPr>
          <w:rFonts w:ascii="Times New Roman" w:hAnsi="Times New Roman" w:cs="Times New Roman"/>
          <w:b/>
          <w:sz w:val="24"/>
          <w:szCs w:val="24"/>
        </w:rPr>
        <w:t xml:space="preserve">hodnotili 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 xml:space="preserve">vplyv </w:t>
      </w:r>
      <w:r w:rsidRPr="00486964">
        <w:rPr>
          <w:rFonts w:ascii="Times New Roman" w:hAnsi="Times New Roman" w:cs="Times New Roman"/>
          <w:b/>
          <w:sz w:val="24"/>
          <w:szCs w:val="24"/>
        </w:rPr>
        <w:lastRenderedPageBreak/>
        <w:t>revitalizačn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>ých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opatren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>í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 xml:space="preserve">množstvo a rozmanitosť </w:t>
      </w:r>
      <w:r w:rsidRPr="00486964">
        <w:rPr>
          <w:rFonts w:ascii="Times New Roman" w:hAnsi="Times New Roman" w:cs="Times New Roman"/>
          <w:b/>
          <w:sz w:val="24"/>
          <w:szCs w:val="24"/>
        </w:rPr>
        <w:t>rastl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>ín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a div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>ej</w:t>
      </w:r>
      <w:r w:rsidRPr="00486964">
        <w:rPr>
          <w:rFonts w:ascii="Times New Roman" w:hAnsi="Times New Roman" w:cs="Times New Roman"/>
          <w:b/>
          <w:sz w:val="24"/>
          <w:szCs w:val="24"/>
        </w:rPr>
        <w:t xml:space="preserve"> zver</w:t>
      </w:r>
      <w:r w:rsidR="00CE2C1D" w:rsidRPr="00486964">
        <w:rPr>
          <w:rFonts w:ascii="Times New Roman" w:hAnsi="Times New Roman" w:cs="Times New Roman"/>
          <w:b/>
          <w:sz w:val="24"/>
          <w:szCs w:val="24"/>
        </w:rPr>
        <w:t>i v ich katastri</w:t>
      </w:r>
      <w:r w:rsidR="00325FDF" w:rsidRPr="00486964">
        <w:rPr>
          <w:rFonts w:ascii="Times New Roman" w:hAnsi="Times New Roman" w:cs="Times New Roman"/>
          <w:b/>
          <w:sz w:val="24"/>
          <w:szCs w:val="24"/>
        </w:rPr>
        <w:t xml:space="preserve"> mierne až veľmi pozitívne.</w:t>
      </w:r>
      <w:r w:rsidR="00CE2C1D">
        <w:rPr>
          <w:rFonts w:ascii="Times New Roman" w:hAnsi="Times New Roman" w:cs="Times New Roman"/>
          <w:sz w:val="24"/>
          <w:szCs w:val="24"/>
        </w:rPr>
        <w:t xml:space="preserve"> </w:t>
      </w:r>
      <w:r w:rsidR="00325FDF">
        <w:rPr>
          <w:rFonts w:ascii="Times New Roman" w:hAnsi="Times New Roman" w:cs="Times New Roman"/>
          <w:sz w:val="24"/>
          <w:szCs w:val="24"/>
        </w:rPr>
        <w:t>V</w:t>
      </w:r>
      <w:r w:rsidR="00850730">
        <w:rPr>
          <w:rFonts w:ascii="Times New Roman" w:hAnsi="Times New Roman" w:cs="Times New Roman"/>
          <w:sz w:val="24"/>
          <w:szCs w:val="24"/>
        </w:rPr>
        <w:t xml:space="preserve"> tejto </w:t>
      </w:r>
      <w:r w:rsidR="000A4EB4">
        <w:rPr>
          <w:rFonts w:ascii="Times New Roman" w:hAnsi="Times New Roman" w:cs="Times New Roman"/>
          <w:sz w:val="24"/>
          <w:szCs w:val="24"/>
        </w:rPr>
        <w:t xml:space="preserve">jednej </w:t>
      </w:r>
      <w:r w:rsidR="00850730">
        <w:rPr>
          <w:rFonts w:ascii="Times New Roman" w:hAnsi="Times New Roman" w:cs="Times New Roman"/>
          <w:sz w:val="24"/>
          <w:szCs w:val="24"/>
        </w:rPr>
        <w:t xml:space="preserve">otázke </w:t>
      </w:r>
      <w:r w:rsidR="00CE2C1D">
        <w:rPr>
          <w:rFonts w:ascii="Times New Roman" w:hAnsi="Times New Roman" w:cs="Times New Roman"/>
          <w:sz w:val="24"/>
          <w:szCs w:val="24"/>
        </w:rPr>
        <w:t>ani jeden zo starostov nehlásil negatívny vplyv</w:t>
      </w:r>
      <w:r w:rsidR="004F423D">
        <w:rPr>
          <w:rFonts w:ascii="Times New Roman" w:hAnsi="Times New Roman" w:cs="Times New Roman"/>
          <w:sz w:val="24"/>
          <w:szCs w:val="24"/>
        </w:rPr>
        <w:t xml:space="preserve">. </w:t>
      </w:r>
      <w:r w:rsidR="004F423D" w:rsidRPr="00C4244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8E5319">
        <w:rPr>
          <w:rFonts w:ascii="Times New Roman" w:hAnsi="Times New Roman" w:cs="Times New Roman"/>
          <w:sz w:val="24"/>
          <w:szCs w:val="24"/>
        </w:rPr>
        <w:t>eden trefne poznamenal, že vidí pozitívum v tom, že nepokračovala degradácia</w:t>
      </w:r>
      <w:r w:rsidR="00C42445">
        <w:rPr>
          <w:rFonts w:ascii="Times New Roman" w:hAnsi="Times New Roman" w:cs="Times New Roman"/>
          <w:sz w:val="24"/>
          <w:szCs w:val="24"/>
        </w:rPr>
        <w:t>.</w:t>
      </w:r>
      <w:r w:rsidR="00BF40E5">
        <w:rPr>
          <w:rFonts w:ascii="Times New Roman" w:hAnsi="Times New Roman" w:cs="Times New Roman"/>
          <w:sz w:val="24"/>
          <w:szCs w:val="24"/>
        </w:rPr>
        <w:t xml:space="preserve"> Konkretizovanie účinkov </w:t>
      </w:r>
      <w:proofErr w:type="spellStart"/>
      <w:r w:rsidR="00BF40E5">
        <w:rPr>
          <w:rFonts w:ascii="Times New Roman" w:hAnsi="Times New Roman" w:cs="Times New Roman"/>
          <w:sz w:val="24"/>
          <w:szCs w:val="24"/>
        </w:rPr>
        <w:t>vodozádržných</w:t>
      </w:r>
      <w:proofErr w:type="spellEnd"/>
      <w:r w:rsidR="00BF40E5">
        <w:rPr>
          <w:rFonts w:ascii="Times New Roman" w:hAnsi="Times New Roman" w:cs="Times New Roman"/>
          <w:sz w:val="24"/>
          <w:szCs w:val="24"/>
        </w:rPr>
        <w:t xml:space="preserve"> opatrení dopadlo jednoznačnejšie ako v predchádzajúcom bloku (aj keď sa objavili ojedinelé záporné hodnotenia), pričom starostovia si všimli najmä nárast počtu miest, ktoré zver začala využívať ako napájadlá</w:t>
      </w:r>
      <w:r w:rsidR="00D168E9" w:rsidRPr="00C42445">
        <w:rPr>
          <w:rFonts w:ascii="Times New Roman" w:hAnsi="Times New Roman" w:cs="Times New Roman"/>
          <w:sz w:val="24"/>
          <w:szCs w:val="24"/>
        </w:rPr>
        <w:t>.</w:t>
      </w:r>
      <w:r w:rsidR="00850730">
        <w:rPr>
          <w:rFonts w:ascii="Times New Roman" w:hAnsi="Times New Roman" w:cs="Times New Roman"/>
          <w:sz w:val="24"/>
          <w:szCs w:val="24"/>
        </w:rPr>
        <w:t xml:space="preserve"> </w:t>
      </w:r>
      <w:r w:rsidR="00D168E9">
        <w:rPr>
          <w:rFonts w:ascii="Times New Roman" w:hAnsi="Times New Roman" w:cs="Times New Roman"/>
          <w:sz w:val="24"/>
          <w:szCs w:val="24"/>
        </w:rPr>
        <w:t>Viacerí osobitne uviedli, že zaznamenali zvýšený výskyt vysokej a diviačej zveri a takisto zvýšený výskyt a hniezdenie vodného vtáctva</w:t>
      </w:r>
      <w:r w:rsidR="008E5319">
        <w:rPr>
          <w:rFonts w:ascii="Times New Roman" w:hAnsi="Times New Roman" w:cs="Times New Roman"/>
          <w:sz w:val="24"/>
          <w:szCs w:val="24"/>
        </w:rPr>
        <w:t>, výskyt drobnej zveri, ktorá sa na daných miestach predtým nevyskytovala, zachovanie vody pre faunu a flóru i v čase sucha</w:t>
      </w:r>
      <w:r w:rsidR="001C616B">
        <w:rPr>
          <w:rFonts w:ascii="Times New Roman" w:hAnsi="Times New Roman" w:cs="Times New Roman"/>
          <w:sz w:val="24"/>
          <w:szCs w:val="24"/>
        </w:rPr>
        <w:t xml:space="preserve"> </w:t>
      </w:r>
      <w:r w:rsidR="007F3A79">
        <w:rPr>
          <w:rFonts w:ascii="Times New Roman" w:hAnsi="Times New Roman" w:cs="Times New Roman"/>
          <w:sz w:val="24"/>
          <w:szCs w:val="24"/>
        </w:rPr>
        <w:t xml:space="preserve">a pod. </w:t>
      </w:r>
    </w:p>
    <w:p w:rsidR="00CB3019" w:rsidRDefault="009C6C10" w:rsidP="009C6C10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7FDA0544" wp14:editId="6A08EE92">
            <wp:simplePos x="0" y="0"/>
            <wp:positionH relativeFrom="column">
              <wp:posOffset>15875</wp:posOffset>
            </wp:positionH>
            <wp:positionV relativeFrom="paragraph">
              <wp:posOffset>1329690</wp:posOffset>
            </wp:positionV>
            <wp:extent cx="6082665" cy="2926080"/>
            <wp:effectExtent l="0" t="0" r="13335" b="26670"/>
            <wp:wrapTight wrapText="bothSides">
              <wp:wrapPolygon edited="0">
                <wp:start x="0" y="0"/>
                <wp:lineTo x="0" y="21656"/>
                <wp:lineTo x="21580" y="21656"/>
                <wp:lineTo x="21580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63E" w:rsidRPr="00872BD2">
        <w:rPr>
          <w:rFonts w:ascii="Times New Roman" w:hAnsi="Times New Roman" w:cs="Times New Roman"/>
          <w:i/>
          <w:sz w:val="24"/>
          <w:szCs w:val="24"/>
        </w:rPr>
        <w:t>Prínos opatrení pre život v</w:t>
      </w:r>
      <w:r w:rsidR="00872BD2" w:rsidRPr="00872BD2">
        <w:rPr>
          <w:rFonts w:ascii="Times New Roman" w:hAnsi="Times New Roman" w:cs="Times New Roman"/>
          <w:i/>
          <w:sz w:val="24"/>
          <w:szCs w:val="24"/>
        </w:rPr>
        <w:t> </w:t>
      </w:r>
      <w:r w:rsidR="0014063E" w:rsidRPr="00872BD2">
        <w:rPr>
          <w:rFonts w:ascii="Times New Roman" w:hAnsi="Times New Roman" w:cs="Times New Roman"/>
          <w:i/>
          <w:sz w:val="24"/>
          <w:szCs w:val="24"/>
        </w:rPr>
        <w:t>obci</w:t>
      </w:r>
      <w:r w:rsidR="00872BD2" w:rsidRPr="00872B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77B" w:rsidRPr="00486964">
        <w:rPr>
          <w:rFonts w:ascii="Times New Roman" w:hAnsi="Times New Roman" w:cs="Times New Roman"/>
          <w:b/>
          <w:sz w:val="24"/>
          <w:szCs w:val="24"/>
        </w:rPr>
        <w:t xml:space="preserve">Odpovede starostov naznačujú, že v nemateriálnej oblasti </w:t>
      </w:r>
      <w:proofErr w:type="spellStart"/>
      <w:r w:rsidR="009A277B" w:rsidRPr="00486964">
        <w:rPr>
          <w:rFonts w:ascii="Times New Roman" w:hAnsi="Times New Roman" w:cs="Times New Roman"/>
          <w:b/>
          <w:sz w:val="24"/>
          <w:szCs w:val="24"/>
        </w:rPr>
        <w:t>vodozádržné</w:t>
      </w:r>
      <w:proofErr w:type="spellEnd"/>
      <w:r w:rsidR="009A277B" w:rsidRPr="00486964">
        <w:rPr>
          <w:rFonts w:ascii="Times New Roman" w:hAnsi="Times New Roman" w:cs="Times New Roman"/>
          <w:b/>
          <w:sz w:val="24"/>
          <w:szCs w:val="24"/>
        </w:rPr>
        <w:t xml:space="preserve"> opatrenia najmä </w:t>
      </w:r>
      <w:r w:rsidR="009A277B" w:rsidRPr="00486964">
        <w:rPr>
          <w:rFonts w:ascii="Times New Roman" w:hAnsi="Times New Roman" w:cs="Times New Roman"/>
          <w:b/>
          <w:bCs/>
          <w:sz w:val="24"/>
          <w:szCs w:val="24"/>
        </w:rPr>
        <w:t>skrášlili a zatraktívnili ich okolie</w:t>
      </w:r>
      <w:r w:rsidR="008208B7">
        <w:rPr>
          <w:rFonts w:ascii="Times New Roman" w:hAnsi="Times New Roman" w:cs="Times New Roman"/>
          <w:bCs/>
          <w:sz w:val="24"/>
          <w:szCs w:val="24"/>
        </w:rPr>
        <w:t xml:space="preserve"> (139 obcí)</w:t>
      </w:r>
      <w:r w:rsidR="009A277B">
        <w:rPr>
          <w:rFonts w:ascii="Times New Roman" w:hAnsi="Times New Roman" w:cs="Times New Roman"/>
          <w:bCs/>
          <w:sz w:val="24"/>
          <w:szCs w:val="24"/>
        </w:rPr>
        <w:t>, prispeli k možnostiam rekreácie</w:t>
      </w:r>
      <w:r w:rsidR="008208B7">
        <w:rPr>
          <w:rFonts w:ascii="Times New Roman" w:hAnsi="Times New Roman" w:cs="Times New Roman"/>
          <w:bCs/>
          <w:sz w:val="24"/>
          <w:szCs w:val="24"/>
        </w:rPr>
        <w:t xml:space="preserve"> (55 obcí)</w:t>
      </w:r>
      <w:r w:rsidR="00F9600F">
        <w:rPr>
          <w:rFonts w:ascii="Times New Roman" w:hAnsi="Times New Roman" w:cs="Times New Roman"/>
          <w:bCs/>
          <w:sz w:val="24"/>
          <w:szCs w:val="24"/>
        </w:rPr>
        <w:t xml:space="preserve">, ale vysoko hodnotili </w:t>
      </w:r>
      <w:r w:rsidR="009A277B">
        <w:rPr>
          <w:rFonts w:ascii="Times New Roman" w:hAnsi="Times New Roman" w:cs="Times New Roman"/>
          <w:bCs/>
          <w:sz w:val="24"/>
          <w:szCs w:val="24"/>
        </w:rPr>
        <w:t xml:space="preserve"> ich náučnú hodnotu </w:t>
      </w:r>
      <w:r w:rsidR="008208B7">
        <w:rPr>
          <w:rFonts w:ascii="Times New Roman" w:hAnsi="Times New Roman" w:cs="Times New Roman"/>
          <w:bCs/>
          <w:sz w:val="24"/>
          <w:szCs w:val="24"/>
        </w:rPr>
        <w:t xml:space="preserve">(82 obcí) </w:t>
      </w:r>
      <w:r w:rsidR="009A277B">
        <w:rPr>
          <w:rFonts w:ascii="Times New Roman" w:hAnsi="Times New Roman" w:cs="Times New Roman"/>
          <w:bCs/>
          <w:sz w:val="24"/>
          <w:szCs w:val="24"/>
        </w:rPr>
        <w:t>a z nich vyplývajúce impulzy pre inovácie</w:t>
      </w:r>
      <w:r w:rsidR="00820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E0C">
        <w:rPr>
          <w:rFonts w:ascii="Times New Roman" w:hAnsi="Times New Roman" w:cs="Times New Roman"/>
          <w:bCs/>
          <w:sz w:val="24"/>
          <w:szCs w:val="24"/>
        </w:rPr>
        <w:t>(66 obcí)</w:t>
      </w:r>
      <w:r w:rsidR="009A277B">
        <w:rPr>
          <w:rFonts w:ascii="Times New Roman" w:hAnsi="Times New Roman" w:cs="Times New Roman"/>
          <w:bCs/>
          <w:sz w:val="24"/>
          <w:szCs w:val="24"/>
        </w:rPr>
        <w:t>. Vysoké o</w:t>
      </w:r>
      <w:r w:rsidR="00F9600F">
        <w:rPr>
          <w:rFonts w:ascii="Times New Roman" w:hAnsi="Times New Roman" w:cs="Times New Roman"/>
          <w:bCs/>
          <w:sz w:val="24"/>
          <w:szCs w:val="24"/>
        </w:rPr>
        <w:t xml:space="preserve">hodnotenie starostovia udelili </w:t>
      </w:r>
      <w:r w:rsidR="009A2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77B">
        <w:rPr>
          <w:rFonts w:ascii="Times New Roman" w:hAnsi="Times New Roman" w:cs="Times New Roman"/>
          <w:sz w:val="24"/>
          <w:szCs w:val="24"/>
        </w:rPr>
        <w:t xml:space="preserve">zlepšeniu spolupráce medzi </w:t>
      </w:r>
      <w:r w:rsidR="009A277B">
        <w:rPr>
          <w:rFonts w:ascii="Times New Roman" w:hAnsi="Times New Roman" w:cs="Times New Roman"/>
          <w:bCs/>
          <w:sz w:val="24"/>
          <w:szCs w:val="24"/>
        </w:rPr>
        <w:t>vodohospodármi</w:t>
      </w:r>
      <w:r w:rsidR="00803E0C">
        <w:rPr>
          <w:rFonts w:ascii="Times New Roman" w:hAnsi="Times New Roman" w:cs="Times New Roman"/>
          <w:bCs/>
          <w:sz w:val="24"/>
          <w:szCs w:val="24"/>
        </w:rPr>
        <w:t xml:space="preserve"> (59 obcí)</w:t>
      </w:r>
      <w:r w:rsidR="009A277B">
        <w:rPr>
          <w:rFonts w:ascii="Times New Roman" w:hAnsi="Times New Roman" w:cs="Times New Roman"/>
          <w:bCs/>
          <w:sz w:val="24"/>
          <w:szCs w:val="24"/>
        </w:rPr>
        <w:t xml:space="preserve">, z čoho vyplýva, že budovanie </w:t>
      </w:r>
      <w:proofErr w:type="spellStart"/>
      <w:r w:rsidR="009A277B">
        <w:rPr>
          <w:rFonts w:ascii="Times New Roman" w:hAnsi="Times New Roman" w:cs="Times New Roman"/>
          <w:bCs/>
          <w:sz w:val="24"/>
          <w:szCs w:val="24"/>
        </w:rPr>
        <w:t>vodozádržných</w:t>
      </w:r>
      <w:proofErr w:type="spellEnd"/>
      <w:r w:rsidR="009A277B">
        <w:rPr>
          <w:rFonts w:ascii="Times New Roman" w:hAnsi="Times New Roman" w:cs="Times New Roman"/>
          <w:bCs/>
          <w:sz w:val="24"/>
          <w:szCs w:val="24"/>
        </w:rPr>
        <w:t xml:space="preserve"> opatrení zďaleka nemusí byť kameňom úrazu medzi </w:t>
      </w:r>
      <w:r w:rsidR="00CB3019">
        <w:rPr>
          <w:rFonts w:ascii="Times New Roman" w:hAnsi="Times New Roman" w:cs="Times New Roman"/>
          <w:bCs/>
          <w:sz w:val="24"/>
          <w:szCs w:val="24"/>
        </w:rPr>
        <w:t>miestnou samosprávou a vodohospodármi.</w:t>
      </w:r>
    </w:p>
    <w:p w:rsidR="00C56DEE" w:rsidRDefault="0014063E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BD">
        <w:rPr>
          <w:rFonts w:ascii="Times New Roman" w:hAnsi="Times New Roman" w:cs="Times New Roman"/>
          <w:i/>
          <w:sz w:val="24"/>
          <w:szCs w:val="24"/>
        </w:rPr>
        <w:t>Stupeň dobudovania revitalizačných opatrení</w:t>
      </w:r>
      <w:r w:rsidR="00A326BD" w:rsidRPr="00A326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3FDA">
        <w:rPr>
          <w:rFonts w:ascii="Times New Roman" w:hAnsi="Times New Roman" w:cs="Times New Roman"/>
          <w:sz w:val="24"/>
          <w:szCs w:val="24"/>
        </w:rPr>
        <w:t xml:space="preserve">Za 18 mesiacov fungovania </w:t>
      </w:r>
      <w:r w:rsidR="00C42445">
        <w:rPr>
          <w:rFonts w:ascii="Times New Roman" w:hAnsi="Times New Roman" w:cs="Times New Roman"/>
          <w:sz w:val="24"/>
          <w:szCs w:val="24"/>
        </w:rPr>
        <w:t>Programu</w:t>
      </w:r>
      <w:r w:rsidR="00AD3FDA">
        <w:rPr>
          <w:rFonts w:ascii="Times New Roman" w:hAnsi="Times New Roman" w:cs="Times New Roman"/>
          <w:sz w:val="24"/>
          <w:szCs w:val="24"/>
        </w:rPr>
        <w:t xml:space="preserve"> bolo podľa údajov realizátorov vytvorených cca 100.000 </w:t>
      </w:r>
      <w:proofErr w:type="spellStart"/>
      <w:r w:rsidR="00AD3FDA">
        <w:rPr>
          <w:rFonts w:ascii="Times New Roman" w:hAnsi="Times New Roman" w:cs="Times New Roman"/>
          <w:sz w:val="24"/>
          <w:szCs w:val="24"/>
        </w:rPr>
        <w:t>vodozádržných</w:t>
      </w:r>
      <w:proofErr w:type="spellEnd"/>
      <w:r w:rsidR="00AD3FDA">
        <w:rPr>
          <w:rFonts w:ascii="Times New Roman" w:hAnsi="Times New Roman" w:cs="Times New Roman"/>
          <w:sz w:val="24"/>
          <w:szCs w:val="24"/>
        </w:rPr>
        <w:t xml:space="preserve"> prvkov. Vytvorená bola </w:t>
      </w:r>
      <w:proofErr w:type="spellStart"/>
      <w:r w:rsidR="00AD3FDA">
        <w:rPr>
          <w:rFonts w:ascii="Times New Roman" w:hAnsi="Times New Roman" w:cs="Times New Roman"/>
          <w:sz w:val="24"/>
          <w:szCs w:val="24"/>
        </w:rPr>
        <w:t>vodozádržná</w:t>
      </w:r>
      <w:proofErr w:type="spellEnd"/>
      <w:r w:rsidR="00AD3FDA">
        <w:rPr>
          <w:rFonts w:ascii="Times New Roman" w:hAnsi="Times New Roman" w:cs="Times New Roman"/>
          <w:sz w:val="24"/>
          <w:szCs w:val="24"/>
        </w:rPr>
        <w:t xml:space="preserve"> kapacita cca 10 miliónov metrov kubických. Toto predstavuje len 4 percentá z celkového zámeru vytvoriť </w:t>
      </w:r>
      <w:proofErr w:type="spellStart"/>
      <w:r w:rsidR="00AD3FDA">
        <w:rPr>
          <w:rFonts w:ascii="Times New Roman" w:hAnsi="Times New Roman" w:cs="Times New Roman"/>
          <w:sz w:val="24"/>
          <w:szCs w:val="24"/>
        </w:rPr>
        <w:t>vodozádržné</w:t>
      </w:r>
      <w:proofErr w:type="spellEnd"/>
      <w:r w:rsidR="00AD3FDA">
        <w:rPr>
          <w:rFonts w:ascii="Times New Roman" w:hAnsi="Times New Roman" w:cs="Times New Roman"/>
          <w:sz w:val="24"/>
          <w:szCs w:val="24"/>
        </w:rPr>
        <w:t xml:space="preserve"> opatrenia na zadržanie 250 miliónov metrov kubických vody počas </w:t>
      </w:r>
      <w:r w:rsidR="00F9600F" w:rsidRPr="001F1D5A">
        <w:rPr>
          <w:rFonts w:ascii="Times New Roman" w:hAnsi="Times New Roman" w:cs="Times New Roman"/>
          <w:sz w:val="24"/>
          <w:szCs w:val="24"/>
        </w:rPr>
        <w:t>pôvodne</w:t>
      </w:r>
      <w:r w:rsidR="00F9600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 xml:space="preserve">predpokladanej 10-ročnej implementácie programu. </w:t>
      </w:r>
      <w:r w:rsidR="00AD3FDA" w:rsidRPr="00C42445">
        <w:rPr>
          <w:rFonts w:ascii="Times New Roman" w:hAnsi="Times New Roman" w:cs="Times New Roman"/>
          <w:b/>
          <w:sz w:val="24"/>
          <w:szCs w:val="24"/>
        </w:rPr>
        <w:t>S množstvom vybudovaných opatrení je spok</w:t>
      </w:r>
      <w:r w:rsidR="00F9600F" w:rsidRPr="00C42445">
        <w:rPr>
          <w:rFonts w:ascii="Times New Roman" w:hAnsi="Times New Roman" w:cs="Times New Roman"/>
          <w:b/>
          <w:sz w:val="24"/>
          <w:szCs w:val="24"/>
        </w:rPr>
        <w:t>ojných len veľmi málo starostov. V</w:t>
      </w:r>
      <w:r w:rsidR="00AD3FDA" w:rsidRPr="00C42445">
        <w:rPr>
          <w:rFonts w:ascii="Times New Roman" w:hAnsi="Times New Roman" w:cs="Times New Roman"/>
          <w:b/>
          <w:sz w:val="24"/>
          <w:szCs w:val="24"/>
        </w:rPr>
        <w:t xml:space="preserve">äčšina z tých, ktorí sa k otázke vyjadrili, naznačovali potrebu </w:t>
      </w:r>
      <w:r w:rsidR="00FA0423" w:rsidRPr="00C42445">
        <w:rPr>
          <w:rFonts w:ascii="Times New Roman" w:hAnsi="Times New Roman" w:cs="Times New Roman"/>
          <w:b/>
          <w:sz w:val="24"/>
          <w:szCs w:val="24"/>
        </w:rPr>
        <w:t xml:space="preserve">vybudovania </w:t>
      </w:r>
      <w:r w:rsidR="00AD3FDA" w:rsidRPr="00C42445">
        <w:rPr>
          <w:rFonts w:ascii="Times New Roman" w:hAnsi="Times New Roman" w:cs="Times New Roman"/>
          <w:b/>
          <w:sz w:val="24"/>
          <w:szCs w:val="24"/>
        </w:rPr>
        <w:t>dvojnásobného počtu opatrení</w:t>
      </w:r>
      <w:r w:rsidR="00FA0423">
        <w:rPr>
          <w:rFonts w:ascii="Times New Roman" w:hAnsi="Times New Roman" w:cs="Times New Roman"/>
          <w:sz w:val="24"/>
          <w:szCs w:val="24"/>
        </w:rPr>
        <w:t xml:space="preserve">, mnohí </w:t>
      </w:r>
      <w:r w:rsidR="007F28E6">
        <w:rPr>
          <w:rFonts w:ascii="Times New Roman" w:hAnsi="Times New Roman" w:cs="Times New Roman"/>
          <w:sz w:val="24"/>
          <w:szCs w:val="24"/>
        </w:rPr>
        <w:t>indikovali potrebu dobudovania aj</w:t>
      </w:r>
      <w:r w:rsidR="00FA0423">
        <w:rPr>
          <w:rFonts w:ascii="Times New Roman" w:hAnsi="Times New Roman" w:cs="Times New Roman"/>
          <w:sz w:val="24"/>
          <w:szCs w:val="24"/>
        </w:rPr>
        <w:t xml:space="preserve"> viac ako dvojnásobného </w:t>
      </w:r>
      <w:r w:rsidR="00FA0423" w:rsidRPr="00C42445">
        <w:rPr>
          <w:rFonts w:ascii="Times New Roman" w:hAnsi="Times New Roman" w:cs="Times New Roman"/>
          <w:sz w:val="24"/>
          <w:szCs w:val="24"/>
        </w:rPr>
        <w:t>počtu.</w:t>
      </w:r>
      <w:r w:rsidR="00FA0423">
        <w:rPr>
          <w:rFonts w:ascii="Times New Roman" w:hAnsi="Times New Roman" w:cs="Times New Roman"/>
          <w:sz w:val="24"/>
          <w:szCs w:val="24"/>
        </w:rPr>
        <w:t xml:space="preserve"> Podľa starostov je teda stále čo budovať a to najmä preto, lebo </w:t>
      </w:r>
      <w:proofErr w:type="spellStart"/>
      <w:r w:rsidR="00FA0423">
        <w:rPr>
          <w:rFonts w:ascii="Times New Roman" w:hAnsi="Times New Roman" w:cs="Times New Roman"/>
          <w:sz w:val="24"/>
          <w:szCs w:val="24"/>
        </w:rPr>
        <w:t>vodozádržné</w:t>
      </w:r>
      <w:proofErr w:type="spellEnd"/>
      <w:r w:rsidR="00FA0423">
        <w:rPr>
          <w:rFonts w:ascii="Times New Roman" w:hAnsi="Times New Roman" w:cs="Times New Roman"/>
          <w:sz w:val="24"/>
          <w:szCs w:val="24"/>
        </w:rPr>
        <w:t xml:space="preserve"> opatrenia neboli vybudované vo všetkých častiach katastra (165 </w:t>
      </w:r>
      <w:proofErr w:type="spellStart"/>
      <w:r w:rsidR="00C42445">
        <w:rPr>
          <w:rFonts w:ascii="Times New Roman" w:hAnsi="Times New Roman" w:cs="Times New Roman"/>
          <w:sz w:val="24"/>
          <w:szCs w:val="24"/>
        </w:rPr>
        <w:t>obc</w:t>
      </w:r>
      <w:proofErr w:type="spellEnd"/>
      <w:r w:rsidR="00C42445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FA0423">
        <w:rPr>
          <w:rFonts w:ascii="Times New Roman" w:hAnsi="Times New Roman" w:cs="Times New Roman"/>
          <w:sz w:val="24"/>
          <w:szCs w:val="24"/>
        </w:rPr>
        <w:t>)</w:t>
      </w:r>
      <w:r w:rsidR="000B1DBF">
        <w:rPr>
          <w:rFonts w:ascii="Times New Roman" w:hAnsi="Times New Roman" w:cs="Times New Roman"/>
          <w:sz w:val="24"/>
          <w:szCs w:val="24"/>
        </w:rPr>
        <w:t xml:space="preserve">. Podľa spresnenia niektorých starostov opatrenia v ich prípadoch </w:t>
      </w:r>
      <w:r w:rsidR="00C56DEE">
        <w:rPr>
          <w:rFonts w:ascii="Times New Roman" w:hAnsi="Times New Roman" w:cs="Times New Roman"/>
          <w:sz w:val="24"/>
          <w:szCs w:val="24"/>
        </w:rPr>
        <w:t xml:space="preserve">neboli vybudované </w:t>
      </w:r>
      <w:r w:rsidR="000B1DBF">
        <w:rPr>
          <w:rFonts w:ascii="Times New Roman" w:hAnsi="Times New Roman" w:cs="Times New Roman"/>
          <w:sz w:val="24"/>
          <w:szCs w:val="24"/>
        </w:rPr>
        <w:t xml:space="preserve">v intravilánoch obcí, </w:t>
      </w:r>
      <w:r w:rsidR="000B1DBF">
        <w:rPr>
          <w:rFonts w:ascii="Times New Roman" w:hAnsi="Times New Roman" w:cs="Times New Roman"/>
          <w:sz w:val="24"/>
          <w:szCs w:val="24"/>
        </w:rPr>
        <w:lastRenderedPageBreak/>
        <w:t xml:space="preserve">ale ani v extravilánoch </w:t>
      </w:r>
      <w:r w:rsidR="00C56DEE">
        <w:rPr>
          <w:rFonts w:ascii="Times New Roman" w:hAnsi="Times New Roman" w:cs="Times New Roman"/>
          <w:sz w:val="24"/>
          <w:szCs w:val="24"/>
        </w:rPr>
        <w:t xml:space="preserve">na drobných tokoch </w:t>
      </w:r>
      <w:r w:rsidR="000B1DBF">
        <w:rPr>
          <w:rFonts w:ascii="Times New Roman" w:hAnsi="Times New Roman" w:cs="Times New Roman"/>
          <w:sz w:val="24"/>
          <w:szCs w:val="24"/>
        </w:rPr>
        <w:t>a</w:t>
      </w:r>
      <w:r w:rsidR="00F9600F">
        <w:rPr>
          <w:rFonts w:ascii="Times New Roman" w:hAnsi="Times New Roman" w:cs="Times New Roman"/>
          <w:sz w:val="24"/>
          <w:szCs w:val="24"/>
        </w:rPr>
        <w:t xml:space="preserve"> v jarkoch, suchých väčšinu roka, </w:t>
      </w:r>
      <w:r w:rsidR="00C56DEE">
        <w:rPr>
          <w:rFonts w:ascii="Times New Roman" w:hAnsi="Times New Roman" w:cs="Times New Roman"/>
          <w:sz w:val="24"/>
          <w:szCs w:val="24"/>
        </w:rPr>
        <w:t>, ktoré sa však v čase prívalo</w:t>
      </w:r>
      <w:r w:rsidR="00F9600F">
        <w:rPr>
          <w:rFonts w:ascii="Times New Roman" w:hAnsi="Times New Roman" w:cs="Times New Roman"/>
          <w:sz w:val="24"/>
          <w:szCs w:val="24"/>
        </w:rPr>
        <w:t xml:space="preserve">vých dažďov </w:t>
      </w:r>
      <w:r w:rsidR="00F9600F" w:rsidRPr="001F1D5A">
        <w:rPr>
          <w:rFonts w:ascii="Times New Roman" w:hAnsi="Times New Roman" w:cs="Times New Roman"/>
          <w:sz w:val="24"/>
          <w:szCs w:val="24"/>
        </w:rPr>
        <w:t xml:space="preserve">menia na </w:t>
      </w:r>
      <w:r w:rsidR="00C56DEE" w:rsidRPr="001F1D5A">
        <w:rPr>
          <w:rFonts w:ascii="Times New Roman" w:hAnsi="Times New Roman" w:cs="Times New Roman"/>
          <w:sz w:val="24"/>
          <w:szCs w:val="24"/>
        </w:rPr>
        <w:t> riavy. T</w:t>
      </w:r>
      <w:r w:rsidRPr="001F1D5A">
        <w:rPr>
          <w:rFonts w:ascii="Times New Roman" w:hAnsi="Times New Roman" w:cs="Times New Roman"/>
          <w:sz w:val="24"/>
          <w:szCs w:val="24"/>
        </w:rPr>
        <w:t xml:space="preserve">reba </w:t>
      </w:r>
      <w:r w:rsidR="00C56DEE" w:rsidRPr="001F1D5A">
        <w:rPr>
          <w:rFonts w:ascii="Times New Roman" w:hAnsi="Times New Roman" w:cs="Times New Roman"/>
          <w:sz w:val="24"/>
          <w:szCs w:val="24"/>
        </w:rPr>
        <w:t xml:space="preserve">tiež </w:t>
      </w:r>
      <w:r w:rsidRPr="001F1D5A">
        <w:rPr>
          <w:rFonts w:ascii="Times New Roman" w:hAnsi="Times New Roman" w:cs="Times New Roman"/>
          <w:sz w:val="24"/>
          <w:szCs w:val="24"/>
        </w:rPr>
        <w:t>dobudovať iné typy opatrení</w:t>
      </w:r>
      <w:r w:rsidR="000B1DBF" w:rsidRPr="001F1D5A">
        <w:rPr>
          <w:rFonts w:ascii="Times New Roman" w:hAnsi="Times New Roman" w:cs="Times New Roman"/>
          <w:sz w:val="24"/>
          <w:szCs w:val="24"/>
        </w:rPr>
        <w:t xml:space="preserve"> (98 odpovedí).</w:t>
      </w:r>
      <w:r w:rsidR="00C56DEE" w:rsidRPr="001F1D5A">
        <w:rPr>
          <w:rFonts w:ascii="Times New Roman" w:hAnsi="Times New Roman" w:cs="Times New Roman"/>
          <w:sz w:val="24"/>
          <w:szCs w:val="24"/>
        </w:rPr>
        <w:t xml:space="preserve"> </w:t>
      </w:r>
      <w:r w:rsidR="000B1DBF" w:rsidRPr="001F1D5A">
        <w:rPr>
          <w:rFonts w:ascii="Times New Roman" w:hAnsi="Times New Roman" w:cs="Times New Roman"/>
          <w:sz w:val="24"/>
          <w:szCs w:val="24"/>
        </w:rPr>
        <w:t>S</w:t>
      </w:r>
      <w:r w:rsidR="00C56DEE" w:rsidRPr="001F1D5A">
        <w:rPr>
          <w:rFonts w:ascii="Times New Roman" w:hAnsi="Times New Roman" w:cs="Times New Roman"/>
          <w:sz w:val="24"/>
          <w:szCs w:val="24"/>
        </w:rPr>
        <w:t xml:space="preserve">tarostovia najčastejšie volali po suchých </w:t>
      </w:r>
      <w:proofErr w:type="spellStart"/>
      <w:r w:rsidR="00C56DEE" w:rsidRPr="001F1D5A">
        <w:rPr>
          <w:rFonts w:ascii="Times New Roman" w:hAnsi="Times New Roman" w:cs="Times New Roman"/>
          <w:sz w:val="24"/>
          <w:szCs w:val="24"/>
        </w:rPr>
        <w:t>poldroch</w:t>
      </w:r>
      <w:proofErr w:type="spellEnd"/>
      <w:r w:rsidR="00F9600F" w:rsidRPr="001F1D5A">
        <w:rPr>
          <w:rFonts w:ascii="Times New Roman" w:hAnsi="Times New Roman" w:cs="Times New Roman"/>
          <w:sz w:val="24"/>
          <w:szCs w:val="24"/>
        </w:rPr>
        <w:t xml:space="preserve"> a</w:t>
      </w:r>
      <w:r w:rsidR="00C56DEE" w:rsidRPr="001F1D5A">
        <w:rPr>
          <w:rFonts w:ascii="Times New Roman" w:hAnsi="Times New Roman" w:cs="Times New Roman"/>
          <w:sz w:val="24"/>
          <w:szCs w:val="24"/>
        </w:rPr>
        <w:t xml:space="preserve"> záchytných nádržiach (ktoré by zároveň slúžili ako zásobárne požiarnej a inej vody) nad obcami,</w:t>
      </w:r>
      <w:r w:rsidR="000B1DBF" w:rsidRPr="001F1D5A">
        <w:rPr>
          <w:rFonts w:ascii="Times New Roman" w:hAnsi="Times New Roman" w:cs="Times New Roman"/>
          <w:sz w:val="24"/>
          <w:szCs w:val="24"/>
        </w:rPr>
        <w:t xml:space="preserve"> ale i po </w:t>
      </w:r>
      <w:r w:rsidR="000B1DBF">
        <w:rPr>
          <w:rFonts w:ascii="Times New Roman" w:hAnsi="Times New Roman" w:cs="Times New Roman"/>
          <w:sz w:val="24"/>
          <w:szCs w:val="24"/>
        </w:rPr>
        <w:t xml:space="preserve">agrotechnických a </w:t>
      </w:r>
      <w:r w:rsidR="000B1DBF" w:rsidRPr="000F783E">
        <w:rPr>
          <w:rFonts w:ascii="Times New Roman" w:hAnsi="Times New Roman" w:cs="Times New Roman"/>
          <w:sz w:val="24"/>
          <w:szCs w:val="24"/>
        </w:rPr>
        <w:t>vegetačno-techn</w:t>
      </w:r>
      <w:r w:rsidR="000B1DBF">
        <w:rPr>
          <w:rFonts w:ascii="Times New Roman" w:hAnsi="Times New Roman" w:cs="Times New Roman"/>
          <w:sz w:val="24"/>
          <w:szCs w:val="24"/>
        </w:rPr>
        <w:t>i</w:t>
      </w:r>
      <w:r w:rsidR="000B1DBF" w:rsidRPr="000F783E">
        <w:rPr>
          <w:rFonts w:ascii="Times New Roman" w:hAnsi="Times New Roman" w:cs="Times New Roman"/>
          <w:sz w:val="24"/>
          <w:szCs w:val="24"/>
        </w:rPr>
        <w:t xml:space="preserve">ckými </w:t>
      </w:r>
      <w:r w:rsidR="000B1DBF">
        <w:rPr>
          <w:rFonts w:ascii="Times New Roman" w:hAnsi="Times New Roman" w:cs="Times New Roman"/>
          <w:sz w:val="24"/>
          <w:szCs w:val="24"/>
        </w:rPr>
        <w:t>opatreniach, zabránení privádzaniu dažďovej vody do obce po lesných cestách (zvážniciach) a pod.</w:t>
      </w:r>
      <w:r w:rsidR="00B9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3E" w:rsidRDefault="00581330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622D6A77" wp14:editId="035A4B86">
            <wp:simplePos x="0" y="0"/>
            <wp:positionH relativeFrom="column">
              <wp:posOffset>2395220</wp:posOffset>
            </wp:positionH>
            <wp:positionV relativeFrom="paragraph">
              <wp:posOffset>85090</wp:posOffset>
            </wp:positionV>
            <wp:extent cx="3721100" cy="2743200"/>
            <wp:effectExtent l="0" t="0" r="12700" b="19050"/>
            <wp:wrapTight wrapText="bothSides">
              <wp:wrapPolygon edited="0">
                <wp:start x="0" y="0"/>
                <wp:lineTo x="0" y="21600"/>
                <wp:lineTo x="21563" y="21600"/>
                <wp:lineTo x="21563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63E" w:rsidRPr="000B1DBF">
        <w:rPr>
          <w:rFonts w:ascii="Times New Roman" w:hAnsi="Times New Roman" w:cs="Times New Roman"/>
          <w:bCs/>
          <w:i/>
          <w:sz w:val="24"/>
          <w:szCs w:val="24"/>
        </w:rPr>
        <w:t xml:space="preserve">Údržba </w:t>
      </w:r>
      <w:r w:rsidR="0014063E" w:rsidRPr="000B1DBF">
        <w:rPr>
          <w:rFonts w:ascii="Times New Roman" w:hAnsi="Times New Roman" w:cs="Times New Roman"/>
          <w:i/>
          <w:sz w:val="24"/>
          <w:szCs w:val="24"/>
        </w:rPr>
        <w:t>revitalizačných opatrení</w:t>
      </w:r>
      <w:r w:rsidR="000B1DBF" w:rsidRPr="000B1D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679" w:rsidRPr="007B6679">
        <w:rPr>
          <w:rFonts w:ascii="Times New Roman" w:hAnsi="Times New Roman" w:cs="Times New Roman"/>
          <w:bCs/>
          <w:sz w:val="24"/>
          <w:szCs w:val="24"/>
        </w:rPr>
        <w:t xml:space="preserve">Údržba </w:t>
      </w:r>
      <w:r w:rsidR="007B6679" w:rsidRPr="007B6679">
        <w:rPr>
          <w:rFonts w:ascii="Times New Roman" w:hAnsi="Times New Roman" w:cs="Times New Roman"/>
          <w:sz w:val="24"/>
          <w:szCs w:val="24"/>
        </w:rPr>
        <w:t>revitalizačných opatrení</w:t>
      </w:r>
      <w:r w:rsidR="007B6679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považovala</w:t>
      </w:r>
      <w:r w:rsidR="007B6679">
        <w:rPr>
          <w:rFonts w:ascii="Times New Roman" w:hAnsi="Times New Roman" w:cs="Times New Roman"/>
          <w:sz w:val="24"/>
          <w:szCs w:val="24"/>
        </w:rPr>
        <w:t xml:space="preserve"> za slabé</w:t>
      </w:r>
      <w:r w:rsidRPr="00581330">
        <w:rPr>
          <w:noProof/>
          <w:lang w:eastAsia="zh-CN"/>
        </w:rPr>
        <w:t xml:space="preserve"> </w:t>
      </w:r>
      <w:r w:rsidR="007B6679">
        <w:rPr>
          <w:rFonts w:ascii="Times New Roman" w:hAnsi="Times New Roman" w:cs="Times New Roman"/>
          <w:sz w:val="24"/>
          <w:szCs w:val="24"/>
        </w:rPr>
        <w:t xml:space="preserve"> miesto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F28E6">
        <w:rPr>
          <w:rFonts w:ascii="Times New Roman" w:hAnsi="Times New Roman" w:cs="Times New Roman"/>
          <w:sz w:val="24"/>
          <w:szCs w:val="24"/>
        </w:rPr>
        <w:t xml:space="preserve">rogramu </w:t>
      </w:r>
      <w:r w:rsidR="007B6679">
        <w:rPr>
          <w:rFonts w:ascii="Times New Roman" w:hAnsi="Times New Roman" w:cs="Times New Roman"/>
          <w:sz w:val="24"/>
          <w:szCs w:val="24"/>
        </w:rPr>
        <w:t xml:space="preserve">najmä preto, </w:t>
      </w:r>
      <w:r w:rsidR="007F28E6">
        <w:rPr>
          <w:rFonts w:ascii="Times New Roman" w:hAnsi="Times New Roman" w:cs="Times New Roman"/>
          <w:sz w:val="24"/>
          <w:szCs w:val="24"/>
        </w:rPr>
        <w:t xml:space="preserve">že </w:t>
      </w:r>
      <w:r w:rsidR="007B6679">
        <w:rPr>
          <w:rFonts w:ascii="Times New Roman" w:hAnsi="Times New Roman" w:cs="Times New Roman"/>
          <w:sz w:val="24"/>
          <w:szCs w:val="24"/>
        </w:rPr>
        <w:t>mala byť zabezpečovaná a financovaná z rozpočtu samotných obcí</w:t>
      </w:r>
      <w:r w:rsidR="007B6679" w:rsidRPr="007B6679">
        <w:rPr>
          <w:rFonts w:ascii="Times New Roman" w:hAnsi="Times New Roman" w:cs="Times New Roman"/>
          <w:sz w:val="24"/>
          <w:szCs w:val="24"/>
        </w:rPr>
        <w:t>.</w:t>
      </w:r>
      <w:r w:rsidR="007B6679" w:rsidRPr="000B1D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679">
        <w:rPr>
          <w:rFonts w:ascii="Times New Roman" w:hAnsi="Times New Roman" w:cs="Times New Roman"/>
          <w:sz w:val="24"/>
          <w:szCs w:val="24"/>
        </w:rPr>
        <w:t>Na otázku o frekvencii vykonávanej údržby drvivá v</w:t>
      </w:r>
      <w:r w:rsidR="00516161">
        <w:rPr>
          <w:rFonts w:ascii="Times New Roman" w:hAnsi="Times New Roman" w:cs="Times New Roman"/>
          <w:sz w:val="24"/>
          <w:szCs w:val="24"/>
        </w:rPr>
        <w:t xml:space="preserve">äčšina starostov deklaruje, že sa o vybudované </w:t>
      </w:r>
      <w:proofErr w:type="spellStart"/>
      <w:r w:rsidR="00516161">
        <w:rPr>
          <w:rFonts w:ascii="Times New Roman" w:hAnsi="Times New Roman" w:cs="Times New Roman"/>
          <w:sz w:val="24"/>
          <w:szCs w:val="24"/>
        </w:rPr>
        <w:t>vodozádržné</w:t>
      </w:r>
      <w:proofErr w:type="spellEnd"/>
      <w:r w:rsidR="00516161">
        <w:rPr>
          <w:rFonts w:ascii="Times New Roman" w:hAnsi="Times New Roman" w:cs="Times New Roman"/>
          <w:sz w:val="24"/>
          <w:szCs w:val="24"/>
        </w:rPr>
        <w:t xml:space="preserve"> </w:t>
      </w:r>
      <w:r w:rsidR="007F28E6">
        <w:rPr>
          <w:rFonts w:ascii="Times New Roman" w:hAnsi="Times New Roman" w:cs="Times New Roman"/>
          <w:sz w:val="24"/>
          <w:szCs w:val="24"/>
        </w:rPr>
        <w:t>opatrenia starajú</w:t>
      </w:r>
      <w:r w:rsidR="007B6679">
        <w:rPr>
          <w:rFonts w:ascii="Times New Roman" w:hAnsi="Times New Roman" w:cs="Times New Roman"/>
          <w:sz w:val="24"/>
          <w:szCs w:val="24"/>
        </w:rPr>
        <w:t xml:space="preserve">, aj keď väčšinou len vtedy, keď si vyžadujú opravu. Veľká väčšina obcí si údržbu zabezpečuje svojpomocne (203), v niektorých obciach sú </w:t>
      </w:r>
      <w:r w:rsidR="00CC1D74">
        <w:rPr>
          <w:rFonts w:ascii="Times New Roman" w:hAnsi="Times New Roman" w:cs="Times New Roman"/>
          <w:sz w:val="24"/>
          <w:szCs w:val="24"/>
        </w:rPr>
        <w:t xml:space="preserve">opatrenia vybudované externými firmami ešte v záruke (26), viacerí tiež deklarujú, že </w:t>
      </w:r>
      <w:r w:rsidR="00516161">
        <w:rPr>
          <w:rFonts w:ascii="Times New Roman" w:hAnsi="Times New Roman" w:cs="Times New Roman"/>
          <w:sz w:val="24"/>
          <w:szCs w:val="24"/>
        </w:rPr>
        <w:t>opatrenia</w:t>
      </w:r>
      <w:r w:rsidR="00F9600F">
        <w:rPr>
          <w:rFonts w:ascii="Times New Roman" w:hAnsi="Times New Roman" w:cs="Times New Roman"/>
          <w:sz w:val="24"/>
          <w:szCs w:val="24"/>
        </w:rPr>
        <w:t xml:space="preserve"> </w:t>
      </w:r>
      <w:r w:rsidR="00516161">
        <w:rPr>
          <w:rFonts w:ascii="Times New Roman" w:hAnsi="Times New Roman" w:cs="Times New Roman"/>
          <w:sz w:val="24"/>
          <w:szCs w:val="24"/>
        </w:rPr>
        <w:t xml:space="preserve">fungujú </w:t>
      </w:r>
      <w:proofErr w:type="spellStart"/>
      <w:r w:rsidR="00516161">
        <w:rPr>
          <w:rFonts w:ascii="Times New Roman" w:hAnsi="Times New Roman" w:cs="Times New Roman"/>
          <w:sz w:val="24"/>
          <w:szCs w:val="24"/>
        </w:rPr>
        <w:t>bezúdržbovo</w:t>
      </w:r>
      <w:proofErr w:type="spellEnd"/>
      <w:r w:rsidR="00516161">
        <w:rPr>
          <w:rFonts w:ascii="Times New Roman" w:hAnsi="Times New Roman" w:cs="Times New Roman"/>
          <w:sz w:val="24"/>
          <w:szCs w:val="24"/>
        </w:rPr>
        <w:t xml:space="preserve"> </w:t>
      </w:r>
      <w:r w:rsidR="00CC1D74">
        <w:rPr>
          <w:rFonts w:ascii="Times New Roman" w:hAnsi="Times New Roman" w:cs="Times New Roman"/>
          <w:sz w:val="24"/>
          <w:szCs w:val="24"/>
        </w:rPr>
        <w:t>(</w:t>
      </w:r>
      <w:r w:rsidR="00516161">
        <w:rPr>
          <w:rFonts w:ascii="Times New Roman" w:hAnsi="Times New Roman" w:cs="Times New Roman"/>
          <w:sz w:val="24"/>
          <w:szCs w:val="24"/>
        </w:rPr>
        <w:t>45</w:t>
      </w:r>
      <w:r w:rsidR="00CC1D74">
        <w:rPr>
          <w:rFonts w:ascii="Times New Roman" w:hAnsi="Times New Roman" w:cs="Times New Roman"/>
          <w:sz w:val="24"/>
          <w:szCs w:val="24"/>
        </w:rPr>
        <w:t>).</w:t>
      </w:r>
    </w:p>
    <w:p w:rsidR="0014063E" w:rsidRDefault="00581330" w:rsidP="0058133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3A10038F" wp14:editId="1365616A">
            <wp:simplePos x="0" y="0"/>
            <wp:positionH relativeFrom="column">
              <wp:posOffset>2605405</wp:posOffset>
            </wp:positionH>
            <wp:positionV relativeFrom="paragraph">
              <wp:posOffset>334645</wp:posOffset>
            </wp:positionV>
            <wp:extent cx="3514090" cy="2743200"/>
            <wp:effectExtent l="0" t="0" r="10160" b="19050"/>
            <wp:wrapTight wrapText="bothSides">
              <wp:wrapPolygon edited="0">
                <wp:start x="0" y="0"/>
                <wp:lineTo x="0" y="21600"/>
                <wp:lineTo x="21545" y="21600"/>
                <wp:lineTo x="21545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63E" w:rsidRPr="00CC1D74">
        <w:rPr>
          <w:rFonts w:ascii="Times New Roman" w:hAnsi="Times New Roman" w:cs="Times New Roman"/>
          <w:bCs/>
          <w:i/>
          <w:sz w:val="24"/>
          <w:szCs w:val="24"/>
        </w:rPr>
        <w:t xml:space="preserve">Rozvoj </w:t>
      </w:r>
      <w:r w:rsidR="0014063E" w:rsidRPr="00CC1D74">
        <w:rPr>
          <w:rFonts w:ascii="Times New Roman" w:hAnsi="Times New Roman" w:cs="Times New Roman"/>
          <w:i/>
          <w:sz w:val="24"/>
          <w:szCs w:val="24"/>
        </w:rPr>
        <w:t>revitalizačných opatrení</w:t>
      </w:r>
      <w:r w:rsidR="00CC1D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3DF7">
        <w:rPr>
          <w:rFonts w:ascii="Times New Roman" w:hAnsi="Times New Roman" w:cs="Times New Roman"/>
          <w:sz w:val="24"/>
          <w:szCs w:val="24"/>
        </w:rPr>
        <w:t xml:space="preserve">Po pilotnom </w:t>
      </w:r>
      <w:r w:rsidR="00F9600F">
        <w:rPr>
          <w:rFonts w:ascii="Times New Roman" w:hAnsi="Times New Roman" w:cs="Times New Roman"/>
          <w:sz w:val="24"/>
          <w:szCs w:val="24"/>
        </w:rPr>
        <w:t xml:space="preserve">a dvoch realizačných </w:t>
      </w:r>
      <w:r w:rsidR="00F9600F" w:rsidRPr="001F1D5A">
        <w:rPr>
          <w:rFonts w:ascii="Times New Roman" w:hAnsi="Times New Roman" w:cs="Times New Roman"/>
          <w:sz w:val="24"/>
          <w:szCs w:val="24"/>
        </w:rPr>
        <w:t>projektoch</w:t>
      </w:r>
      <w:r w:rsidR="00F9600F" w:rsidRPr="00F9600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9600F">
        <w:rPr>
          <w:rFonts w:ascii="Times New Roman" w:hAnsi="Times New Roman" w:cs="Times New Roman"/>
          <w:sz w:val="24"/>
          <w:szCs w:val="24"/>
        </w:rPr>
        <w:t>sa v</w:t>
      </w:r>
      <w:r w:rsidR="00693DF7">
        <w:rPr>
          <w:rFonts w:ascii="Times New Roman" w:hAnsi="Times New Roman" w:cs="Times New Roman"/>
          <w:sz w:val="24"/>
          <w:szCs w:val="24"/>
        </w:rPr>
        <w:t xml:space="preserve">láda SR rozhodla v realizácii </w:t>
      </w:r>
      <w:r w:rsidR="007F28E6">
        <w:rPr>
          <w:rFonts w:ascii="Times New Roman" w:hAnsi="Times New Roman" w:cs="Times New Roman"/>
          <w:sz w:val="24"/>
          <w:szCs w:val="24"/>
        </w:rPr>
        <w:t xml:space="preserve">programu revitalizácie a integrovaného manažmentu </w:t>
      </w:r>
      <w:r w:rsidR="00693DF7">
        <w:rPr>
          <w:rFonts w:ascii="Times New Roman" w:hAnsi="Times New Roman" w:cs="Times New Roman"/>
          <w:sz w:val="24"/>
          <w:szCs w:val="24"/>
        </w:rPr>
        <w:t xml:space="preserve">nepokračovať. </w:t>
      </w:r>
      <w:r w:rsidR="00856CF9">
        <w:rPr>
          <w:rFonts w:ascii="Times New Roman" w:hAnsi="Times New Roman" w:cs="Times New Roman"/>
          <w:sz w:val="24"/>
          <w:szCs w:val="24"/>
        </w:rPr>
        <w:t xml:space="preserve">Podľa odpovedí starostov sa však niektoré obce rozhodli budovať </w:t>
      </w:r>
      <w:proofErr w:type="spellStart"/>
      <w:r w:rsidR="00856CF9">
        <w:rPr>
          <w:rFonts w:ascii="Times New Roman" w:hAnsi="Times New Roman" w:cs="Times New Roman"/>
          <w:sz w:val="24"/>
          <w:szCs w:val="24"/>
        </w:rPr>
        <w:t>vodozádržné</w:t>
      </w:r>
      <w:proofErr w:type="spellEnd"/>
      <w:r w:rsidR="00856CF9">
        <w:rPr>
          <w:rFonts w:ascii="Times New Roman" w:hAnsi="Times New Roman" w:cs="Times New Roman"/>
          <w:sz w:val="24"/>
          <w:szCs w:val="24"/>
        </w:rPr>
        <w:t xml:space="preserve"> opatrenia podľa </w:t>
      </w:r>
      <w:r w:rsidR="00F9600F">
        <w:rPr>
          <w:rFonts w:ascii="Times New Roman" w:hAnsi="Times New Roman" w:cs="Times New Roman"/>
          <w:sz w:val="24"/>
          <w:szCs w:val="24"/>
        </w:rPr>
        <w:t xml:space="preserve">svojich </w:t>
      </w:r>
      <w:r w:rsidR="00856CF9">
        <w:rPr>
          <w:rFonts w:ascii="Times New Roman" w:hAnsi="Times New Roman" w:cs="Times New Roman"/>
          <w:sz w:val="24"/>
          <w:szCs w:val="24"/>
        </w:rPr>
        <w:t xml:space="preserve">možností </w:t>
      </w:r>
      <w:r w:rsidR="00095E56">
        <w:rPr>
          <w:rFonts w:ascii="Times New Roman" w:hAnsi="Times New Roman" w:cs="Times New Roman"/>
          <w:sz w:val="24"/>
          <w:szCs w:val="24"/>
        </w:rPr>
        <w:t xml:space="preserve">aj </w:t>
      </w:r>
      <w:r w:rsidR="00856CF9">
        <w:rPr>
          <w:rFonts w:ascii="Times New Roman" w:hAnsi="Times New Roman" w:cs="Times New Roman"/>
          <w:sz w:val="24"/>
          <w:szCs w:val="24"/>
        </w:rPr>
        <w:t xml:space="preserve">bez vládnej podpory </w:t>
      </w:r>
      <w:r w:rsidR="00F9600F" w:rsidRPr="001F1D5A">
        <w:rPr>
          <w:rFonts w:ascii="Times New Roman" w:hAnsi="Times New Roman" w:cs="Times New Roman"/>
          <w:sz w:val="24"/>
          <w:szCs w:val="24"/>
        </w:rPr>
        <w:t>na</w:t>
      </w:r>
      <w:r w:rsidR="00856CF9" w:rsidRPr="001F1D5A">
        <w:rPr>
          <w:rFonts w:ascii="Times New Roman" w:hAnsi="Times New Roman" w:cs="Times New Roman"/>
          <w:sz w:val="24"/>
          <w:szCs w:val="24"/>
        </w:rPr>
        <w:t>ď</w:t>
      </w:r>
      <w:r w:rsidR="00856CF9">
        <w:rPr>
          <w:rFonts w:ascii="Times New Roman" w:hAnsi="Times New Roman" w:cs="Times New Roman"/>
          <w:sz w:val="24"/>
          <w:szCs w:val="24"/>
        </w:rPr>
        <w:t xml:space="preserve">alej (84 obcí oproti 149 obciam, ktoré po skončení </w:t>
      </w:r>
      <w:proofErr w:type="spellStart"/>
      <w:r w:rsidR="00856CF9">
        <w:rPr>
          <w:rFonts w:ascii="Times New Roman" w:hAnsi="Times New Roman" w:cs="Times New Roman"/>
          <w:sz w:val="24"/>
          <w:szCs w:val="24"/>
        </w:rPr>
        <w:t>PRK-u</w:t>
      </w:r>
      <w:proofErr w:type="spellEnd"/>
      <w:r w:rsidR="00856CF9">
        <w:rPr>
          <w:rFonts w:ascii="Times New Roman" w:hAnsi="Times New Roman" w:cs="Times New Roman"/>
          <w:sz w:val="24"/>
          <w:szCs w:val="24"/>
        </w:rPr>
        <w:t xml:space="preserve"> nevybudovali ďalšie </w:t>
      </w:r>
      <w:proofErr w:type="spellStart"/>
      <w:r w:rsidR="00856CF9">
        <w:rPr>
          <w:rFonts w:ascii="Times New Roman" w:hAnsi="Times New Roman" w:cs="Times New Roman"/>
          <w:sz w:val="24"/>
          <w:szCs w:val="24"/>
        </w:rPr>
        <w:t>vodozádržné</w:t>
      </w:r>
      <w:proofErr w:type="spellEnd"/>
      <w:r w:rsidR="00856CF9">
        <w:rPr>
          <w:rFonts w:ascii="Times New Roman" w:hAnsi="Times New Roman" w:cs="Times New Roman"/>
          <w:sz w:val="24"/>
          <w:szCs w:val="24"/>
        </w:rPr>
        <w:t xml:space="preserve"> opatrenia), </w:t>
      </w:r>
      <w:r w:rsidR="00095E56">
        <w:rPr>
          <w:rFonts w:ascii="Times New Roman" w:hAnsi="Times New Roman" w:cs="Times New Roman"/>
          <w:sz w:val="24"/>
          <w:szCs w:val="24"/>
        </w:rPr>
        <w:t xml:space="preserve">hoci </w:t>
      </w:r>
      <w:r w:rsidR="00856CF9">
        <w:rPr>
          <w:rFonts w:ascii="Times New Roman" w:hAnsi="Times New Roman" w:cs="Times New Roman"/>
          <w:sz w:val="24"/>
          <w:szCs w:val="24"/>
        </w:rPr>
        <w:t xml:space="preserve">tieto možnosti sú výrazne obmedzené nedostatkom financií. Niektorí starostovia </w:t>
      </w:r>
      <w:r>
        <w:rPr>
          <w:rFonts w:ascii="Times New Roman" w:hAnsi="Times New Roman" w:cs="Times New Roman"/>
          <w:sz w:val="24"/>
          <w:szCs w:val="24"/>
        </w:rPr>
        <w:t xml:space="preserve">tento stav potvrdili aj v komentároch, keď </w:t>
      </w:r>
      <w:r w:rsidR="00856CF9">
        <w:rPr>
          <w:rFonts w:ascii="Times New Roman" w:hAnsi="Times New Roman" w:cs="Times New Roman"/>
          <w:sz w:val="24"/>
          <w:szCs w:val="24"/>
        </w:rPr>
        <w:t xml:space="preserve">napísali „chceme a potrebujeme, ale nemáme prostriedky.“ Obce najčastejšie spomínajú </w:t>
      </w:r>
      <w:r w:rsidR="0014063E" w:rsidRPr="00750C7B">
        <w:rPr>
          <w:rFonts w:ascii="Times New Roman" w:hAnsi="Times New Roman" w:cs="Times New Roman"/>
          <w:sz w:val="24"/>
          <w:szCs w:val="24"/>
        </w:rPr>
        <w:t>bud</w:t>
      </w:r>
      <w:r w:rsidR="00856CF9">
        <w:rPr>
          <w:rFonts w:ascii="Times New Roman" w:hAnsi="Times New Roman" w:cs="Times New Roman"/>
          <w:sz w:val="24"/>
          <w:szCs w:val="24"/>
        </w:rPr>
        <w:t xml:space="preserve">ovanie </w:t>
      </w:r>
      <w:r w:rsidR="0014063E" w:rsidRPr="00750C7B">
        <w:rPr>
          <w:rFonts w:ascii="Times New Roman" w:hAnsi="Times New Roman" w:cs="Times New Roman"/>
          <w:sz w:val="24"/>
          <w:szCs w:val="24"/>
        </w:rPr>
        <w:t>odráž</w:t>
      </w:r>
      <w:r w:rsidR="00856CF9">
        <w:rPr>
          <w:rFonts w:ascii="Times New Roman" w:hAnsi="Times New Roman" w:cs="Times New Roman"/>
          <w:sz w:val="24"/>
          <w:szCs w:val="24"/>
        </w:rPr>
        <w:t>o</w:t>
      </w:r>
      <w:r w:rsidR="0014063E" w:rsidRPr="00750C7B">
        <w:rPr>
          <w:rFonts w:ascii="Times New Roman" w:hAnsi="Times New Roman" w:cs="Times New Roman"/>
          <w:sz w:val="24"/>
          <w:szCs w:val="24"/>
        </w:rPr>
        <w:t>k na ce</w:t>
      </w:r>
      <w:r w:rsidR="0014063E">
        <w:rPr>
          <w:rFonts w:ascii="Times New Roman" w:hAnsi="Times New Roman" w:cs="Times New Roman"/>
          <w:sz w:val="24"/>
          <w:szCs w:val="24"/>
        </w:rPr>
        <w:t>stách</w:t>
      </w:r>
      <w:r w:rsidR="00856CF9">
        <w:rPr>
          <w:rFonts w:ascii="Times New Roman" w:hAnsi="Times New Roman" w:cs="Times New Roman"/>
          <w:sz w:val="24"/>
          <w:szCs w:val="24"/>
        </w:rPr>
        <w:t xml:space="preserve">, ale i budovanie </w:t>
      </w:r>
      <w:proofErr w:type="spellStart"/>
      <w:r w:rsidR="00856CF9">
        <w:rPr>
          <w:rFonts w:ascii="Times New Roman" w:hAnsi="Times New Roman" w:cs="Times New Roman"/>
          <w:sz w:val="24"/>
          <w:szCs w:val="24"/>
        </w:rPr>
        <w:t>zasakávacích</w:t>
      </w:r>
      <w:proofErr w:type="spellEnd"/>
      <w:r w:rsidR="00856CF9">
        <w:rPr>
          <w:rFonts w:ascii="Times New Roman" w:hAnsi="Times New Roman" w:cs="Times New Roman"/>
          <w:sz w:val="24"/>
          <w:szCs w:val="24"/>
        </w:rPr>
        <w:t xml:space="preserve"> pásov a jám, nádrží a malých zdrží, </w:t>
      </w:r>
      <w:r w:rsidR="00095E56">
        <w:rPr>
          <w:rFonts w:ascii="Times New Roman" w:hAnsi="Times New Roman" w:cs="Times New Roman"/>
          <w:sz w:val="24"/>
          <w:szCs w:val="24"/>
        </w:rPr>
        <w:t>ako</w:t>
      </w:r>
      <w:r w:rsidR="00856CF9">
        <w:rPr>
          <w:rFonts w:ascii="Times New Roman" w:hAnsi="Times New Roman" w:cs="Times New Roman"/>
          <w:sz w:val="24"/>
          <w:szCs w:val="24"/>
        </w:rPr>
        <w:t xml:space="preserve"> i opatrenia, </w:t>
      </w:r>
      <w:r w:rsidR="00D67173">
        <w:rPr>
          <w:rFonts w:ascii="Times New Roman" w:hAnsi="Times New Roman" w:cs="Times New Roman"/>
          <w:sz w:val="24"/>
          <w:szCs w:val="24"/>
        </w:rPr>
        <w:t>ktor</w:t>
      </w:r>
      <w:r w:rsidR="00095E56">
        <w:rPr>
          <w:rFonts w:ascii="Times New Roman" w:hAnsi="Times New Roman" w:cs="Times New Roman"/>
          <w:sz w:val="24"/>
          <w:szCs w:val="24"/>
        </w:rPr>
        <w:t>ých</w:t>
      </w:r>
      <w:r w:rsidR="00D67173">
        <w:rPr>
          <w:rFonts w:ascii="Times New Roman" w:hAnsi="Times New Roman" w:cs="Times New Roman"/>
          <w:sz w:val="24"/>
          <w:szCs w:val="24"/>
        </w:rPr>
        <w:t xml:space="preserve"> cieľom nie je zadržiavanie vody (</w:t>
      </w:r>
      <w:r w:rsidR="00856CF9" w:rsidRPr="00693DF7">
        <w:rPr>
          <w:rFonts w:ascii="Times New Roman" w:hAnsi="Times New Roman" w:cs="Times New Roman"/>
          <w:sz w:val="24"/>
          <w:szCs w:val="24"/>
        </w:rPr>
        <w:t>čist</w:t>
      </w:r>
      <w:r w:rsidR="00D67173">
        <w:rPr>
          <w:rFonts w:ascii="Times New Roman" w:hAnsi="Times New Roman" w:cs="Times New Roman"/>
          <w:sz w:val="24"/>
          <w:szCs w:val="24"/>
        </w:rPr>
        <w:t>enie</w:t>
      </w:r>
      <w:r w:rsidR="00856CF9" w:rsidRPr="00693DF7">
        <w:rPr>
          <w:rFonts w:ascii="Times New Roman" w:hAnsi="Times New Roman" w:cs="Times New Roman"/>
          <w:sz w:val="24"/>
          <w:szCs w:val="24"/>
        </w:rPr>
        <w:t xml:space="preserve"> a udržiava</w:t>
      </w:r>
      <w:r w:rsidR="00D67173">
        <w:rPr>
          <w:rFonts w:ascii="Times New Roman" w:hAnsi="Times New Roman" w:cs="Times New Roman"/>
          <w:sz w:val="24"/>
          <w:szCs w:val="24"/>
        </w:rPr>
        <w:t>nie</w:t>
      </w:r>
      <w:r w:rsidR="00856CF9" w:rsidRPr="00693DF7">
        <w:rPr>
          <w:rFonts w:ascii="Times New Roman" w:hAnsi="Times New Roman" w:cs="Times New Roman"/>
          <w:sz w:val="24"/>
          <w:szCs w:val="24"/>
        </w:rPr>
        <w:t xml:space="preserve"> priekop, kos</w:t>
      </w:r>
      <w:r w:rsidR="00D67173">
        <w:rPr>
          <w:rFonts w:ascii="Times New Roman" w:hAnsi="Times New Roman" w:cs="Times New Roman"/>
          <w:sz w:val="24"/>
          <w:szCs w:val="24"/>
        </w:rPr>
        <w:t>enie a pod.)</w:t>
      </w:r>
      <w:r w:rsidR="00095E56">
        <w:rPr>
          <w:rFonts w:ascii="Times New Roman" w:hAnsi="Times New Roman" w:cs="Times New Roman"/>
          <w:sz w:val="24"/>
          <w:szCs w:val="24"/>
        </w:rPr>
        <w:t xml:space="preserve"> ako to bolo v</w:t>
      </w:r>
      <w:r w:rsidR="007F28E6">
        <w:rPr>
          <w:rFonts w:ascii="Times New Roman" w:hAnsi="Times New Roman" w:cs="Times New Roman"/>
          <w:sz w:val="24"/>
          <w:szCs w:val="24"/>
        </w:rPr>
        <w:t> programe revitalizácie</w:t>
      </w:r>
      <w:r w:rsidR="00D67173">
        <w:rPr>
          <w:rFonts w:ascii="Times New Roman" w:hAnsi="Times New Roman" w:cs="Times New Roman"/>
          <w:sz w:val="24"/>
          <w:szCs w:val="24"/>
        </w:rPr>
        <w:t xml:space="preserve">. Len minimum (9 obcí) pri tejto otázke deklarovalo, že </w:t>
      </w:r>
      <w:r w:rsidR="0014063E">
        <w:rPr>
          <w:rFonts w:ascii="Times New Roman" w:hAnsi="Times New Roman" w:cs="Times New Roman"/>
          <w:sz w:val="24"/>
          <w:szCs w:val="24"/>
        </w:rPr>
        <w:t>nepotre</w:t>
      </w:r>
      <w:r w:rsidR="00CC1D74">
        <w:rPr>
          <w:rFonts w:ascii="Times New Roman" w:hAnsi="Times New Roman" w:cs="Times New Roman"/>
          <w:sz w:val="24"/>
          <w:szCs w:val="24"/>
        </w:rPr>
        <w:t>buj</w:t>
      </w:r>
      <w:r w:rsidR="00D67173">
        <w:rPr>
          <w:rFonts w:ascii="Times New Roman" w:hAnsi="Times New Roman" w:cs="Times New Roman"/>
          <w:sz w:val="24"/>
          <w:szCs w:val="24"/>
        </w:rPr>
        <w:t>ú</w:t>
      </w:r>
      <w:r w:rsidR="00CC1D74">
        <w:rPr>
          <w:rFonts w:ascii="Times New Roman" w:hAnsi="Times New Roman" w:cs="Times New Roman"/>
          <w:sz w:val="24"/>
          <w:szCs w:val="24"/>
        </w:rPr>
        <w:t xml:space="preserve"> budovať ďalšie </w:t>
      </w:r>
      <w:r w:rsidR="00CC1D74">
        <w:rPr>
          <w:rFonts w:ascii="Times New Roman" w:hAnsi="Times New Roman" w:cs="Times New Roman"/>
          <w:sz w:val="24"/>
          <w:szCs w:val="24"/>
        </w:rPr>
        <w:lastRenderedPageBreak/>
        <w:t>opatrenia</w:t>
      </w:r>
      <w:r w:rsidR="00D67173">
        <w:rPr>
          <w:rFonts w:ascii="Times New Roman" w:hAnsi="Times New Roman" w:cs="Times New Roman"/>
          <w:sz w:val="24"/>
          <w:szCs w:val="24"/>
        </w:rPr>
        <w:t>.</w:t>
      </w:r>
      <w:r w:rsidR="00CC1D74">
        <w:rPr>
          <w:rFonts w:ascii="Times New Roman" w:hAnsi="Times New Roman" w:cs="Times New Roman"/>
          <w:sz w:val="24"/>
          <w:szCs w:val="24"/>
        </w:rPr>
        <w:t xml:space="preserve"> </w:t>
      </w:r>
      <w:r w:rsidR="00B90C88">
        <w:rPr>
          <w:rFonts w:ascii="Times New Roman" w:hAnsi="Times New Roman" w:cs="Times New Roman"/>
          <w:sz w:val="24"/>
          <w:szCs w:val="24"/>
        </w:rPr>
        <w:t xml:space="preserve">Dostali sme tiež zaujímavú zmienku o tom, že po pozitívnych skúsenostiach s obcou budovanými </w:t>
      </w:r>
      <w:proofErr w:type="spellStart"/>
      <w:r w:rsidR="00B90C88">
        <w:rPr>
          <w:rFonts w:ascii="Times New Roman" w:hAnsi="Times New Roman" w:cs="Times New Roman"/>
          <w:sz w:val="24"/>
          <w:szCs w:val="24"/>
        </w:rPr>
        <w:t>vodozádržnými</w:t>
      </w:r>
      <w:proofErr w:type="spellEnd"/>
      <w:r w:rsidR="00B90C88">
        <w:rPr>
          <w:rFonts w:ascii="Times New Roman" w:hAnsi="Times New Roman" w:cs="Times New Roman"/>
          <w:sz w:val="24"/>
          <w:szCs w:val="24"/>
        </w:rPr>
        <w:t xml:space="preserve"> opatreniami, niektorí individuálni vlastníci si na svojich súkromných pozemkoch začali budovať opatrenia na zachytávanie dažďovej vody a jej využívanie na závlahy a iné účely.</w:t>
      </w:r>
    </w:p>
    <w:p w:rsidR="002B02BE" w:rsidRPr="0081666B" w:rsidRDefault="002B02BE" w:rsidP="00581330">
      <w:pPr>
        <w:shd w:val="clear" w:color="auto" w:fill="D9D9D9" w:themeFill="background1" w:themeFillShade="D9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6B">
        <w:rPr>
          <w:rFonts w:ascii="Times New Roman" w:hAnsi="Times New Roman" w:cs="Times New Roman"/>
          <w:b/>
          <w:iCs/>
          <w:sz w:val="24"/>
          <w:szCs w:val="24"/>
        </w:rPr>
        <w:t>Program revitalizácie krajiny</w:t>
      </w:r>
      <w:r w:rsidR="007F28E6">
        <w:rPr>
          <w:rFonts w:ascii="Times New Roman" w:hAnsi="Times New Roman" w:cs="Times New Roman"/>
          <w:b/>
          <w:iCs/>
          <w:sz w:val="24"/>
          <w:szCs w:val="24"/>
        </w:rPr>
        <w:t xml:space="preserve"> a integrovaného manažmentu povodí SR</w:t>
      </w:r>
    </w:p>
    <w:p w:rsidR="005928EA" w:rsidRDefault="005928EA" w:rsidP="0048696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5A">
        <w:rPr>
          <w:rFonts w:ascii="Times New Roman" w:hAnsi="Times New Roman" w:cs="Times New Roman"/>
          <w:sz w:val="24"/>
          <w:szCs w:val="24"/>
        </w:rPr>
        <w:t xml:space="preserve">Do </w:t>
      </w:r>
      <w:r w:rsidR="0064718F" w:rsidRPr="001F1D5A">
        <w:rPr>
          <w:rFonts w:ascii="Times New Roman" w:hAnsi="Times New Roman" w:cs="Times New Roman"/>
          <w:sz w:val="24"/>
          <w:szCs w:val="24"/>
        </w:rPr>
        <w:t xml:space="preserve">budovania revitalizačných opatrení bolo </w:t>
      </w:r>
      <w:r w:rsidRPr="001F1D5A">
        <w:rPr>
          <w:rFonts w:ascii="Times New Roman" w:hAnsi="Times New Roman" w:cs="Times New Roman"/>
          <w:sz w:val="24"/>
          <w:szCs w:val="24"/>
        </w:rPr>
        <w:t>v období od októbra 2010 do marca 2012 zapojených 48</w:t>
      </w:r>
      <w:r w:rsidR="009C6C10">
        <w:rPr>
          <w:rFonts w:ascii="Times New Roman" w:hAnsi="Times New Roman" w:cs="Times New Roman"/>
          <w:sz w:val="24"/>
          <w:szCs w:val="24"/>
        </w:rPr>
        <w:t>5</w:t>
      </w:r>
      <w:r w:rsidRPr="001F1D5A">
        <w:rPr>
          <w:rFonts w:ascii="Times New Roman" w:hAnsi="Times New Roman" w:cs="Times New Roman"/>
          <w:sz w:val="24"/>
          <w:szCs w:val="24"/>
        </w:rPr>
        <w:t xml:space="preserve"> obcí a miest. Prostredníctvom z</w:t>
      </w:r>
      <w:r w:rsidR="001F1D5A">
        <w:rPr>
          <w:rFonts w:ascii="Times New Roman" w:hAnsi="Times New Roman" w:cs="Times New Roman"/>
          <w:sz w:val="24"/>
          <w:szCs w:val="24"/>
        </w:rPr>
        <w:t>ákona o službách zamestnanosti P</w:t>
      </w:r>
      <w:r w:rsidRPr="001F1D5A">
        <w:rPr>
          <w:rFonts w:ascii="Times New Roman" w:hAnsi="Times New Roman" w:cs="Times New Roman"/>
          <w:sz w:val="24"/>
          <w:szCs w:val="24"/>
        </w:rPr>
        <w:t xml:space="preserve">rogram </w:t>
      </w:r>
      <w:r w:rsidR="0064718F" w:rsidRPr="001F1D5A">
        <w:rPr>
          <w:rFonts w:ascii="Times New Roman" w:hAnsi="Times New Roman" w:cs="Times New Roman"/>
          <w:sz w:val="24"/>
          <w:szCs w:val="24"/>
        </w:rPr>
        <w:t xml:space="preserve">revitalizácie a integrovaného manažmentu povodí </w:t>
      </w:r>
      <w:r w:rsidR="005C48B1">
        <w:rPr>
          <w:rFonts w:ascii="Times New Roman" w:hAnsi="Times New Roman" w:cs="Times New Roman"/>
          <w:sz w:val="24"/>
          <w:szCs w:val="24"/>
        </w:rPr>
        <w:t xml:space="preserve">SR </w:t>
      </w:r>
      <w:r w:rsidRPr="0081666B">
        <w:rPr>
          <w:rFonts w:ascii="Times New Roman" w:hAnsi="Times New Roman" w:cs="Times New Roman"/>
          <w:sz w:val="24"/>
          <w:szCs w:val="24"/>
        </w:rPr>
        <w:t xml:space="preserve">vytvoril okolo 7.700 sezónnych pracovných miest pre dlhodobo nezamestnaných (prevažne na 6 mesiacov). Vytvorili okolo 100 tisíc rôznych </w:t>
      </w:r>
      <w:proofErr w:type="spellStart"/>
      <w:r w:rsidRPr="0081666B">
        <w:rPr>
          <w:rFonts w:ascii="Times New Roman" w:hAnsi="Times New Roman" w:cs="Times New Roman"/>
          <w:sz w:val="24"/>
          <w:szCs w:val="24"/>
        </w:rPr>
        <w:t>vodozádržných</w:t>
      </w:r>
      <w:proofErr w:type="spellEnd"/>
      <w:r w:rsidRPr="0081666B">
        <w:rPr>
          <w:rFonts w:ascii="Times New Roman" w:hAnsi="Times New Roman" w:cs="Times New Roman"/>
          <w:sz w:val="24"/>
          <w:szCs w:val="24"/>
        </w:rPr>
        <w:t xml:space="preserve"> prvkov v poškodených úsekoch krajiny, najmä však v horných častiach jednotlivých povodí.  Tento program schválila vláda na rokovaní 27. októbra 2010 pod názvom </w:t>
      </w:r>
      <w:r w:rsidRPr="0081666B">
        <w:rPr>
          <w:rFonts w:ascii="Times New Roman" w:hAnsi="Times New Roman" w:cs="Times New Roman"/>
          <w:i/>
          <w:iCs/>
          <w:sz w:val="24"/>
          <w:szCs w:val="24"/>
        </w:rPr>
        <w:t>Program revitalizácie krajiny a integrovaného mana</w:t>
      </w:r>
      <w:r w:rsidR="005C48B1">
        <w:rPr>
          <w:rFonts w:ascii="Times New Roman" w:hAnsi="Times New Roman" w:cs="Times New Roman"/>
          <w:i/>
          <w:iCs/>
          <w:sz w:val="24"/>
          <w:szCs w:val="24"/>
        </w:rPr>
        <w:t>žmentu povodí SR</w:t>
      </w:r>
      <w:r w:rsidR="005C48B1">
        <w:rPr>
          <w:rFonts w:ascii="Times New Roman" w:hAnsi="Times New Roman" w:cs="Times New Roman"/>
          <w:sz w:val="24"/>
          <w:szCs w:val="24"/>
        </w:rPr>
        <w:t>.</w:t>
      </w:r>
      <w:r w:rsidRPr="0081666B">
        <w:rPr>
          <w:rFonts w:ascii="Times New Roman" w:hAnsi="Times New Roman" w:cs="Times New Roman"/>
          <w:sz w:val="24"/>
          <w:szCs w:val="24"/>
        </w:rPr>
        <w:t xml:space="preserve"> Bol reakciou na opakované katastrofálne povodne v tom istom roku. Program označil zlepšenie zadržiavania dažďovej vody v krajine za hlavný nástroj na riešenie problémov ekosystémov, ale najmä zníženia rizík povodní, sucha a</w:t>
      </w:r>
      <w:r w:rsidR="007F28E6">
        <w:rPr>
          <w:rFonts w:ascii="Times New Roman" w:hAnsi="Times New Roman" w:cs="Times New Roman"/>
          <w:sz w:val="24"/>
          <w:szCs w:val="24"/>
        </w:rPr>
        <w:t> </w:t>
      </w:r>
      <w:r w:rsidR="005C48B1">
        <w:rPr>
          <w:rFonts w:ascii="Times New Roman" w:hAnsi="Times New Roman" w:cs="Times New Roman"/>
          <w:sz w:val="24"/>
          <w:szCs w:val="24"/>
        </w:rPr>
        <w:t>erózie. Proti p</w:t>
      </w:r>
      <w:r w:rsidRPr="0081666B">
        <w:rPr>
          <w:rFonts w:ascii="Times New Roman" w:hAnsi="Times New Roman" w:cs="Times New Roman"/>
          <w:sz w:val="24"/>
          <w:szCs w:val="24"/>
        </w:rPr>
        <w:t>rogramu sa časom postavila časť odbornej vodohospodárskej obce. Súčasná vláda sa ro</w:t>
      </w:r>
      <w:r w:rsidR="00486964">
        <w:rPr>
          <w:rFonts w:ascii="Times New Roman" w:hAnsi="Times New Roman" w:cs="Times New Roman"/>
          <w:sz w:val="24"/>
          <w:szCs w:val="24"/>
        </w:rPr>
        <w:t>zhodla v programe nepokračovať.</w:t>
      </w:r>
    </w:p>
    <w:p w:rsidR="002D00DA" w:rsidRDefault="002D00DA" w:rsidP="0048696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DA" w:rsidRDefault="002D00DA" w:rsidP="002D00DA">
      <w:pPr>
        <w:pStyle w:val="Normlnywebov"/>
      </w:pPr>
      <w:r>
        <w:t>Kontakt:</w:t>
      </w:r>
    </w:p>
    <w:p w:rsidR="002D00DA" w:rsidRDefault="002D00DA" w:rsidP="002D00DA">
      <w:pPr>
        <w:pStyle w:val="Normlnywebov"/>
      </w:pPr>
      <w:bookmarkStart w:id="0" w:name="_GoBack"/>
      <w:bookmarkEnd w:id="0"/>
      <w:r>
        <w:t xml:space="preserve">Informácie o prieskume sú dostupné na </w:t>
      </w:r>
      <w:hyperlink r:id="rId16" w:history="1">
        <w:r>
          <w:rPr>
            <w:rStyle w:val="Hypertextovprepojenie"/>
          </w:rPr>
          <w:t>www.crvs.sk/hodnotenie</w:t>
        </w:r>
      </w:hyperlink>
      <w:r>
        <w:t>, k</w:t>
      </w:r>
      <w:r>
        <w:rPr>
          <w:rStyle w:val="Siln"/>
        </w:rPr>
        <w:t xml:space="preserve">ontakt: </w:t>
      </w:r>
      <w:hyperlink r:id="rId17" w:history="1">
        <w:r>
          <w:rPr>
            <w:rStyle w:val="Hypertextovprepojenie"/>
          </w:rPr>
          <w:t>office@crvs.sk</w:t>
        </w:r>
      </w:hyperlink>
    </w:p>
    <w:p w:rsidR="002D00DA" w:rsidRPr="00486964" w:rsidRDefault="002D00DA" w:rsidP="0048696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00DA" w:rsidRPr="00486964" w:rsidSect="009C6C10">
      <w:headerReference w:type="default" r:id="rId18"/>
      <w:footerReference w:type="default" r:id="rId19"/>
      <w:pgSz w:w="11906" w:h="16838"/>
      <w:pgMar w:top="2269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4A" w:rsidRDefault="0011104A" w:rsidP="000D5A8D">
      <w:pPr>
        <w:spacing w:after="0" w:line="240" w:lineRule="auto"/>
      </w:pPr>
      <w:r>
        <w:separator/>
      </w:r>
    </w:p>
  </w:endnote>
  <w:endnote w:type="continuationSeparator" w:id="0">
    <w:p w:rsidR="0011104A" w:rsidRDefault="0011104A" w:rsidP="000D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4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C10" w:rsidRDefault="009C6C1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0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6C10" w:rsidRDefault="009C6C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4A" w:rsidRDefault="0011104A" w:rsidP="000D5A8D">
      <w:pPr>
        <w:spacing w:after="0" w:line="240" w:lineRule="auto"/>
      </w:pPr>
      <w:r>
        <w:separator/>
      </w:r>
    </w:p>
  </w:footnote>
  <w:footnote w:type="continuationSeparator" w:id="0">
    <w:p w:rsidR="0011104A" w:rsidRDefault="0011104A" w:rsidP="000D5A8D">
      <w:pPr>
        <w:spacing w:after="0" w:line="240" w:lineRule="auto"/>
      </w:pPr>
      <w:r>
        <w:continuationSeparator/>
      </w:r>
    </w:p>
  </w:footnote>
  <w:footnote w:id="1">
    <w:p w:rsidR="003A074E" w:rsidRPr="003A074E" w:rsidRDefault="003A074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A074E">
        <w:rPr>
          <w:rFonts w:cs="Times New Roman"/>
        </w:rPr>
        <w:t>http://www.npoa.sk/uploads/File/pdf-doc/prieskum-brozura_2013mar20.pdf</w:t>
      </w:r>
    </w:p>
  </w:footnote>
  <w:footnote w:id="2">
    <w:p w:rsidR="006B0324" w:rsidRPr="00486964" w:rsidRDefault="006B0324" w:rsidP="009C6C10">
      <w:pPr>
        <w:spacing w:after="0" w:line="240" w:lineRule="auto"/>
        <w:rPr>
          <w:rFonts w:cs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20528">
        <w:rPr>
          <w:rFonts w:cs="Times New Roman"/>
          <w:sz w:val="20"/>
          <w:szCs w:val="20"/>
        </w:rPr>
        <w:t>http://www.dmc.fmph.uniba.sk/public_html/climate/RHurbanovo.htm</w:t>
      </w:r>
    </w:p>
  </w:footnote>
  <w:footnote w:id="3">
    <w:p w:rsidR="006B0324" w:rsidRDefault="006B0324" w:rsidP="009C6C1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5129A1">
        <w:t xml:space="preserve">Kolektív autorov z akademického prostredia, </w:t>
      </w:r>
      <w:r w:rsidRPr="003567FC">
        <w:t xml:space="preserve">Koncepcia a realizácia Programu revitalizácie krajiny a integrovaného manažmentu povodí SR, </w:t>
      </w:r>
      <w:r w:rsidRPr="003567FC">
        <w:rPr>
          <w:i/>
        </w:rPr>
        <w:t xml:space="preserve">Vodohospodársky spravodajca </w:t>
      </w:r>
      <w:r w:rsidRPr="000A33C2">
        <w:rPr>
          <w:i/>
          <w:color w:val="000000"/>
        </w:rPr>
        <w:t>3-4, 2012</w:t>
      </w:r>
      <w:r w:rsidR="005129A1">
        <w:rPr>
          <w:i/>
          <w:color w:val="000000"/>
        </w:rPr>
        <w:t>, str. 12</w:t>
      </w:r>
    </w:p>
  </w:footnote>
  <w:footnote w:id="4">
    <w:p w:rsidR="005129A1" w:rsidRDefault="005129A1" w:rsidP="009C6C10">
      <w:pPr>
        <w:pStyle w:val="Textpoznmkypodiarou"/>
      </w:pPr>
      <w:r>
        <w:rPr>
          <w:rStyle w:val="Odkaznapoznmkupodiarou"/>
        </w:rPr>
        <w:footnoteRef/>
      </w:r>
      <w:r>
        <w:t xml:space="preserve"> Tamže, str. 13</w:t>
      </w:r>
    </w:p>
  </w:footnote>
  <w:footnote w:id="5">
    <w:p w:rsidR="009C6C10" w:rsidRPr="009958A8" w:rsidRDefault="009C6C10" w:rsidP="009C6C10">
      <w:pPr>
        <w:pStyle w:val="Textpoznmkypodiarou"/>
      </w:pPr>
      <w:r w:rsidRPr="009958A8">
        <w:rPr>
          <w:rStyle w:val="Odkaznapoznmkupodiarou"/>
        </w:rPr>
        <w:footnoteRef/>
      </w:r>
      <w:r w:rsidRPr="009958A8">
        <w:t xml:space="preserve"> </w:t>
      </w:r>
      <w:r w:rsidRPr="009958A8">
        <w:rPr>
          <w:rFonts w:cs="Times New Roman"/>
          <w:noProof/>
        </w:rPr>
        <w:t>Koncepcia na ochranu vodných zdrojov Európy</w:t>
      </w:r>
      <w:r>
        <w:rPr>
          <w:rFonts w:cs="Times New Roman"/>
          <w:noProof/>
        </w:rPr>
        <w:t xml:space="preserve"> 2.4.</w:t>
      </w:r>
      <w:r w:rsidRPr="009958A8">
        <w:rPr>
          <w:rFonts w:cs="Times New Roman"/>
          <w:noProof/>
        </w:rPr>
        <w:t>, EK</w:t>
      </w:r>
      <w:r>
        <w:rPr>
          <w:rFonts w:cs="Times New Roman"/>
          <w:noProof/>
        </w:rPr>
        <w:t>,</w:t>
      </w:r>
      <w:r w:rsidRPr="009958A8">
        <w:rPr>
          <w:rFonts w:cs="Times New Roman"/>
          <w:noProof/>
        </w:rPr>
        <w:t xml:space="preserve"> </w:t>
      </w:r>
      <w:r w:rsidRPr="005E3E2F">
        <w:rPr>
          <w:rStyle w:val="Siln"/>
          <w:rFonts w:cs="Tahoma"/>
          <w:b w:val="0"/>
        </w:rPr>
        <w:t xml:space="preserve">COM/2012/0673 </w:t>
      </w:r>
      <w:proofErr w:type="spellStart"/>
      <w:r w:rsidRPr="005E3E2F">
        <w:rPr>
          <w:rStyle w:val="Siln"/>
          <w:rFonts w:cs="Tahoma"/>
          <w:b w:val="0"/>
        </w:rPr>
        <w:t>final</w:t>
      </w:r>
      <w:proofErr w:type="spellEnd"/>
      <w:r w:rsidRPr="005E3E2F">
        <w:rPr>
          <w:rStyle w:val="Siln"/>
          <w:rFonts w:cs="Tahoma"/>
          <w:b w:val="0"/>
        </w:rPr>
        <w:t>,</w:t>
      </w:r>
      <w:r w:rsidRPr="005E3E2F">
        <w:rPr>
          <w:rStyle w:val="Siln"/>
          <w:rFonts w:ascii="Tahoma" w:hAnsi="Tahoma" w:cs="Tahoma"/>
        </w:rPr>
        <w:t xml:space="preserve"> </w:t>
      </w:r>
      <w:r w:rsidRPr="009958A8">
        <w:rPr>
          <w:rFonts w:cs="Times New Roman"/>
          <w:noProof/>
        </w:rPr>
        <w:t>14.11.2012</w:t>
      </w:r>
      <w:r>
        <w:rPr>
          <w:rFonts w:cs="Times New Roman"/>
          <w:noProof/>
        </w:rPr>
        <w:t xml:space="preserve">; </w:t>
      </w:r>
    </w:p>
  </w:footnote>
  <w:footnote w:id="6">
    <w:p w:rsidR="00486964" w:rsidRDefault="00486964" w:rsidP="004869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2323" w:rsidRPr="00083953">
        <w:rPr>
          <w:rFonts w:cs="Times New Roman"/>
        </w:rPr>
        <w:t xml:space="preserve">Zelená infraštruktúra  – Zvyšovanie prírodného kapitálu Európy, </w:t>
      </w:r>
      <w:r w:rsidR="00CE2323" w:rsidRPr="00083953">
        <w:rPr>
          <w:rFonts w:cs="TimesNewRoman"/>
        </w:rPr>
        <w:t xml:space="preserve">COM(2013) 249 </w:t>
      </w:r>
      <w:proofErr w:type="spellStart"/>
      <w:r w:rsidR="00CE2323" w:rsidRPr="00083953">
        <w:rPr>
          <w:rFonts w:cs="TimesNewRoman"/>
        </w:rPr>
        <w:t>final</w:t>
      </w:r>
      <w:proofErr w:type="spellEnd"/>
      <w:r w:rsidR="00CE2323" w:rsidRPr="00083953">
        <w:rPr>
          <w:rFonts w:cs="TimesNewRoman"/>
        </w:rPr>
        <w:t>,</w:t>
      </w:r>
      <w:r w:rsidR="00CE2323" w:rsidRPr="00083953">
        <w:rPr>
          <w:rFonts w:cs="Times New Roman"/>
        </w:rPr>
        <w:t xml:space="preserve"> EK, 6.5.2013</w:t>
      </w:r>
      <w:r w:rsidR="00CE2323">
        <w:rPr>
          <w:rFonts w:cs="Times New Roman"/>
        </w:rPr>
        <w:t xml:space="preserve">, </w:t>
      </w:r>
      <w:r>
        <w:t xml:space="preserve"> 1.2.</w:t>
      </w:r>
    </w:p>
  </w:footnote>
  <w:footnote w:id="7">
    <w:p w:rsidR="00A07522" w:rsidRDefault="00A0752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noProof/>
        </w:rPr>
        <w:t>viď</w:t>
      </w:r>
      <w:r w:rsidRPr="00083953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 xml:space="preserve">napr. </w:t>
      </w:r>
      <w:r w:rsidRPr="00083953">
        <w:rPr>
          <w:rFonts w:cs="Times New Roman"/>
        </w:rPr>
        <w:t xml:space="preserve">Zelená infraštruktúra  – Zvyšovanie prírodného kapitálu Európy, </w:t>
      </w:r>
      <w:r w:rsidRPr="00083953">
        <w:rPr>
          <w:rFonts w:cs="TimesNewRoman"/>
        </w:rPr>
        <w:t xml:space="preserve">COM(2013) 249 </w:t>
      </w:r>
      <w:proofErr w:type="spellStart"/>
      <w:r w:rsidRPr="00083953">
        <w:rPr>
          <w:rFonts w:cs="TimesNewRoman"/>
        </w:rPr>
        <w:t>final</w:t>
      </w:r>
      <w:proofErr w:type="spellEnd"/>
      <w:r w:rsidRPr="00083953">
        <w:rPr>
          <w:rFonts w:cs="TimesNewRoman"/>
        </w:rPr>
        <w:t>,</w:t>
      </w:r>
      <w:r w:rsidRPr="00083953">
        <w:rPr>
          <w:rFonts w:cs="Times New Roman"/>
        </w:rPr>
        <w:t xml:space="preserve"> EK, 6.5.2013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E5" w:rsidRDefault="007C48E5" w:rsidP="007C48E5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315309" wp14:editId="474B6AAB">
          <wp:extent cx="2973963" cy="588397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67" cy="58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E94"/>
    <w:multiLevelType w:val="hybridMultilevel"/>
    <w:tmpl w:val="10003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311E"/>
    <w:multiLevelType w:val="hybridMultilevel"/>
    <w:tmpl w:val="06240A8A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7335CF5"/>
    <w:multiLevelType w:val="hybridMultilevel"/>
    <w:tmpl w:val="8B3295F2"/>
    <w:lvl w:ilvl="0" w:tplc="D7B8666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D3"/>
    <w:rsid w:val="00017132"/>
    <w:rsid w:val="00020528"/>
    <w:rsid w:val="00040F09"/>
    <w:rsid w:val="00083953"/>
    <w:rsid w:val="00095E56"/>
    <w:rsid w:val="000979CF"/>
    <w:rsid w:val="000A4EB4"/>
    <w:rsid w:val="000B1DBF"/>
    <w:rsid w:val="000B2E29"/>
    <w:rsid w:val="000D5A8D"/>
    <w:rsid w:val="000F783E"/>
    <w:rsid w:val="0011104A"/>
    <w:rsid w:val="0012239F"/>
    <w:rsid w:val="0014063E"/>
    <w:rsid w:val="00153D30"/>
    <w:rsid w:val="00160C64"/>
    <w:rsid w:val="001C616B"/>
    <w:rsid w:val="001F1D5A"/>
    <w:rsid w:val="00210242"/>
    <w:rsid w:val="00226197"/>
    <w:rsid w:val="00257823"/>
    <w:rsid w:val="00263D05"/>
    <w:rsid w:val="002B02BE"/>
    <w:rsid w:val="002D00DA"/>
    <w:rsid w:val="002D7A5B"/>
    <w:rsid w:val="002E6A36"/>
    <w:rsid w:val="00310701"/>
    <w:rsid w:val="00317C3C"/>
    <w:rsid w:val="0032388E"/>
    <w:rsid w:val="00325FDF"/>
    <w:rsid w:val="00331303"/>
    <w:rsid w:val="00342363"/>
    <w:rsid w:val="00361CF0"/>
    <w:rsid w:val="00377298"/>
    <w:rsid w:val="003819ED"/>
    <w:rsid w:val="00397954"/>
    <w:rsid w:val="003A074E"/>
    <w:rsid w:val="003F70B5"/>
    <w:rsid w:val="00407DD3"/>
    <w:rsid w:val="00486964"/>
    <w:rsid w:val="004B0901"/>
    <w:rsid w:val="004F3CDF"/>
    <w:rsid w:val="004F423D"/>
    <w:rsid w:val="004F4D00"/>
    <w:rsid w:val="005129A1"/>
    <w:rsid w:val="00516161"/>
    <w:rsid w:val="00572F52"/>
    <w:rsid w:val="00581330"/>
    <w:rsid w:val="005928EA"/>
    <w:rsid w:val="005A41EA"/>
    <w:rsid w:val="005C48B1"/>
    <w:rsid w:val="005E3E2F"/>
    <w:rsid w:val="00635D08"/>
    <w:rsid w:val="0064718F"/>
    <w:rsid w:val="00661D15"/>
    <w:rsid w:val="00693DF7"/>
    <w:rsid w:val="006B0324"/>
    <w:rsid w:val="006B2491"/>
    <w:rsid w:val="006C7A35"/>
    <w:rsid w:val="006D7368"/>
    <w:rsid w:val="00741E79"/>
    <w:rsid w:val="00751053"/>
    <w:rsid w:val="00774372"/>
    <w:rsid w:val="007749FA"/>
    <w:rsid w:val="00777E17"/>
    <w:rsid w:val="007B217F"/>
    <w:rsid w:val="007B6679"/>
    <w:rsid w:val="007C48E5"/>
    <w:rsid w:val="007E46D5"/>
    <w:rsid w:val="007F28E6"/>
    <w:rsid w:val="007F3A79"/>
    <w:rsid w:val="00803E0C"/>
    <w:rsid w:val="00804235"/>
    <w:rsid w:val="008138A2"/>
    <w:rsid w:val="008208B7"/>
    <w:rsid w:val="00836B77"/>
    <w:rsid w:val="00850730"/>
    <w:rsid w:val="00851054"/>
    <w:rsid w:val="00856CF9"/>
    <w:rsid w:val="00872BD2"/>
    <w:rsid w:val="00881B94"/>
    <w:rsid w:val="0089234F"/>
    <w:rsid w:val="008952E2"/>
    <w:rsid w:val="008E5319"/>
    <w:rsid w:val="00947446"/>
    <w:rsid w:val="00964F66"/>
    <w:rsid w:val="009958A8"/>
    <w:rsid w:val="009A277B"/>
    <w:rsid w:val="009C6C10"/>
    <w:rsid w:val="009F01DC"/>
    <w:rsid w:val="00A07522"/>
    <w:rsid w:val="00A326BD"/>
    <w:rsid w:val="00A9412E"/>
    <w:rsid w:val="00A95831"/>
    <w:rsid w:val="00AA68EA"/>
    <w:rsid w:val="00AB7232"/>
    <w:rsid w:val="00AC6C72"/>
    <w:rsid w:val="00AD3FDA"/>
    <w:rsid w:val="00AD762A"/>
    <w:rsid w:val="00AE1067"/>
    <w:rsid w:val="00AF0FA0"/>
    <w:rsid w:val="00AF655D"/>
    <w:rsid w:val="00B14799"/>
    <w:rsid w:val="00B576D3"/>
    <w:rsid w:val="00B816C9"/>
    <w:rsid w:val="00B90C88"/>
    <w:rsid w:val="00BD0835"/>
    <w:rsid w:val="00BD302A"/>
    <w:rsid w:val="00BE424A"/>
    <w:rsid w:val="00BF40E5"/>
    <w:rsid w:val="00BF7702"/>
    <w:rsid w:val="00C42445"/>
    <w:rsid w:val="00C56DEE"/>
    <w:rsid w:val="00CB3019"/>
    <w:rsid w:val="00CC1D74"/>
    <w:rsid w:val="00CD5F2E"/>
    <w:rsid w:val="00CE2323"/>
    <w:rsid w:val="00CE2C1D"/>
    <w:rsid w:val="00CE4515"/>
    <w:rsid w:val="00D168E9"/>
    <w:rsid w:val="00D4041C"/>
    <w:rsid w:val="00D67173"/>
    <w:rsid w:val="00D72D7C"/>
    <w:rsid w:val="00D86E90"/>
    <w:rsid w:val="00D94696"/>
    <w:rsid w:val="00DA3BA7"/>
    <w:rsid w:val="00E82160"/>
    <w:rsid w:val="00E9205F"/>
    <w:rsid w:val="00EA0AC9"/>
    <w:rsid w:val="00F1263E"/>
    <w:rsid w:val="00F80015"/>
    <w:rsid w:val="00F9600F"/>
    <w:rsid w:val="00FA0423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5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576D3"/>
  </w:style>
  <w:style w:type="paragraph" w:styleId="Textbubliny">
    <w:name w:val="Balloon Text"/>
    <w:basedOn w:val="Normlny"/>
    <w:link w:val="TextbublinyChar"/>
    <w:uiPriority w:val="99"/>
    <w:semiHidden/>
    <w:unhideWhenUsed/>
    <w:rsid w:val="00A9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1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412E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5A8D"/>
    <w:pPr>
      <w:spacing w:after="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5A8D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5A8D"/>
    <w:rPr>
      <w:vertAlign w:val="superscript"/>
    </w:rPr>
  </w:style>
  <w:style w:type="paragraph" w:styleId="Odsekzoznamu">
    <w:name w:val="List Paragraph"/>
    <w:basedOn w:val="Normlny"/>
    <w:qFormat/>
    <w:rsid w:val="000D5A8D"/>
    <w:pPr>
      <w:ind w:left="720"/>
      <w:contextualSpacing/>
    </w:pPr>
    <w:rPr>
      <w:rFonts w:eastAsiaTheme="minorEastAsia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0528"/>
    <w:rPr>
      <w:color w:val="800080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2052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2052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20528"/>
    <w:rPr>
      <w:vertAlign w:val="superscript"/>
    </w:rPr>
  </w:style>
  <w:style w:type="character" w:styleId="Siln">
    <w:name w:val="Strong"/>
    <w:basedOn w:val="Predvolenpsmoodseku"/>
    <w:uiPriority w:val="22"/>
    <w:qFormat/>
    <w:rsid w:val="000839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C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8E5"/>
  </w:style>
  <w:style w:type="paragraph" w:styleId="Pta">
    <w:name w:val="footer"/>
    <w:basedOn w:val="Normlny"/>
    <w:link w:val="PtaChar"/>
    <w:uiPriority w:val="99"/>
    <w:unhideWhenUsed/>
    <w:rsid w:val="007C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5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576D3"/>
  </w:style>
  <w:style w:type="paragraph" w:styleId="Textbubliny">
    <w:name w:val="Balloon Text"/>
    <w:basedOn w:val="Normlny"/>
    <w:link w:val="TextbublinyChar"/>
    <w:uiPriority w:val="99"/>
    <w:semiHidden/>
    <w:unhideWhenUsed/>
    <w:rsid w:val="00A9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1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412E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5A8D"/>
    <w:pPr>
      <w:spacing w:after="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5A8D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5A8D"/>
    <w:rPr>
      <w:vertAlign w:val="superscript"/>
    </w:rPr>
  </w:style>
  <w:style w:type="paragraph" w:styleId="Odsekzoznamu">
    <w:name w:val="List Paragraph"/>
    <w:basedOn w:val="Normlny"/>
    <w:qFormat/>
    <w:rsid w:val="000D5A8D"/>
    <w:pPr>
      <w:ind w:left="720"/>
      <w:contextualSpacing/>
    </w:pPr>
    <w:rPr>
      <w:rFonts w:eastAsiaTheme="minorEastAsia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0528"/>
    <w:rPr>
      <w:color w:val="800080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2052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2052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20528"/>
    <w:rPr>
      <w:vertAlign w:val="superscript"/>
    </w:rPr>
  </w:style>
  <w:style w:type="character" w:styleId="Siln">
    <w:name w:val="Strong"/>
    <w:basedOn w:val="Predvolenpsmoodseku"/>
    <w:uiPriority w:val="22"/>
    <w:qFormat/>
    <w:rsid w:val="000839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C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8E5"/>
  </w:style>
  <w:style w:type="paragraph" w:styleId="Pta">
    <w:name w:val="footer"/>
    <w:basedOn w:val="Normlny"/>
    <w:link w:val="PtaChar"/>
    <w:uiPriority w:val="99"/>
    <w:unhideWhenUsed/>
    <w:rsid w:val="007C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4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64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7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66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522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529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0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917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698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91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566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0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341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4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193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6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55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mailto:office@crv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vs.sk/hodnoten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_OZ-CRVS\Povodne\MeranieDopadov\HodnotenieDopadov_FINAL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Tabulky!$B$20</c:f>
              <c:strCache>
                <c:ptCount val="1"/>
                <c:pt idx="0">
                  <c:v>Počet povodní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4.4597335530520914E-2"/>
                  <c:y val="5.0451297754447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Tabulky!$A$21:$A$23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Tabulky!$B$21:$B$23</c:f>
              <c:numCache>
                <c:formatCode>General</c:formatCode>
                <c:ptCount val="3"/>
                <c:pt idx="0">
                  <c:v>132</c:v>
                </c:pt>
                <c:pt idx="1">
                  <c:v>61</c:v>
                </c:pt>
                <c:pt idx="2">
                  <c:v>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Tabulky!$C$20</c:f>
              <c:strCache>
                <c:ptCount val="1"/>
                <c:pt idx="0">
                  <c:v>Výskyt zrážok, ktoré spôsobovali v minulosti povodňové stavy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4.1310870126650544E-2"/>
                  <c:y val="-3.19327792359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Tabulky!$A$21:$A$23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Tabulky!$C$21:$C$23</c:f>
              <c:numCache>
                <c:formatCode>General</c:formatCode>
                <c:ptCount val="3"/>
                <c:pt idx="0">
                  <c:v>32</c:v>
                </c:pt>
                <c:pt idx="1">
                  <c:v>55</c:v>
                </c:pt>
                <c:pt idx="2">
                  <c:v>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427328"/>
        <c:axId val="153429120"/>
      </c:lineChart>
      <c:catAx>
        <c:axId val="15342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429120"/>
        <c:crosses val="autoZero"/>
        <c:auto val="1"/>
        <c:lblAlgn val="ctr"/>
        <c:lblOffset val="100"/>
        <c:noMultiLvlLbl val="0"/>
      </c:catAx>
      <c:valAx>
        <c:axId val="15342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273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sk-SK" sz="1400" b="1" i="0" u="none" strike="noStrike" baseline="0">
                <a:effectLst/>
              </a:rPr>
              <a:t>Aký vplyv mali revitalizačné opatrenia pri obdobných zrážkach ako v minulosti v katastri Vašej obce?</a:t>
            </a:r>
            <a:r>
              <a:rPr lang="sk-SK" sz="1400" b="1" i="0" u="none" strike="noStrike" baseline="0"/>
              <a:t> </a:t>
            </a:r>
            <a:endParaRPr lang="sk-SK" sz="14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Tabulky!$A$27:$A$31</c:f>
              <c:strCache>
                <c:ptCount val="5"/>
                <c:pt idx="0">
                  <c:v>úplne zabránili povodniam</c:v>
                </c:pt>
                <c:pt idx="1">
                  <c:v>zmiernili priebeh povodní</c:v>
                </c:pt>
                <c:pt idx="2">
                  <c:v>nezmenili priebeh povodní</c:v>
                </c:pt>
                <c:pt idx="3">
                  <c:v>zvýšili hrozbu povodní</c:v>
                </c:pt>
                <c:pt idx="4">
                  <c:v>neviem sa vyjadriť</c:v>
                </c:pt>
              </c:strCache>
            </c:strRef>
          </c:cat>
          <c:val>
            <c:numRef>
              <c:f>Tabulky!$C$27:$C$31</c:f>
              <c:numCache>
                <c:formatCode>0%</c:formatCode>
                <c:ptCount val="5"/>
                <c:pt idx="0">
                  <c:v>0.1417624521072797</c:v>
                </c:pt>
                <c:pt idx="1">
                  <c:v>0.69348659003831414</c:v>
                </c:pt>
                <c:pt idx="2">
                  <c:v>1.532567049808429E-2</c:v>
                </c:pt>
                <c:pt idx="3">
                  <c:v>3.8314176245210726E-3</c:v>
                </c:pt>
                <c:pt idx="4">
                  <c:v>0.14559386973180077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 sz="1200"/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sk-SK" sz="1400"/>
              <a:t>Priemerná</a:t>
            </a:r>
            <a:r>
              <a:rPr lang="sk-SK" sz="1400" baseline="0"/>
              <a:t> škoda v následku povodní</a:t>
            </a:r>
            <a:endParaRPr lang="sk-SK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Tabulky!$A$46</c:f>
              <c:strCache>
                <c:ptCount val="1"/>
                <c:pt idx="0">
                  <c:v>Na majetku obce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Tabulky!$B$45:$C$45</c:f>
              <c:strCache>
                <c:ptCount val="2"/>
                <c:pt idx="0">
                  <c:v>V priemernom roku</c:v>
                </c:pt>
                <c:pt idx="1">
                  <c:v>V roku 2013</c:v>
                </c:pt>
              </c:strCache>
            </c:strRef>
          </c:cat>
          <c:val>
            <c:numRef>
              <c:f>Tabulky!$B$46:$C$46</c:f>
              <c:numCache>
                <c:formatCode>#,##0\ "€"</c:formatCode>
                <c:ptCount val="2"/>
                <c:pt idx="0">
                  <c:v>16362.889087136929</c:v>
                </c:pt>
                <c:pt idx="1">
                  <c:v>3716.1182795698924</c:v>
                </c:pt>
              </c:numCache>
            </c:numRef>
          </c:val>
        </c:ser>
        <c:ser>
          <c:idx val="1"/>
          <c:order val="1"/>
          <c:tx>
            <c:strRef>
              <c:f>Tabulky!$A$47</c:f>
              <c:strCache>
                <c:ptCount val="1"/>
                <c:pt idx="0">
                  <c:v>Na majetku občanov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Tabulky!$B$45:$C$45</c:f>
              <c:strCache>
                <c:ptCount val="2"/>
                <c:pt idx="0">
                  <c:v>V priemernom roku</c:v>
                </c:pt>
                <c:pt idx="1">
                  <c:v>V roku 2013</c:v>
                </c:pt>
              </c:strCache>
            </c:strRef>
          </c:cat>
          <c:val>
            <c:numRef>
              <c:f>Tabulky!$B$47:$C$47</c:f>
              <c:numCache>
                <c:formatCode>#,##0\ "€"</c:formatCode>
                <c:ptCount val="2"/>
                <c:pt idx="0">
                  <c:v>13766.56652360515</c:v>
                </c:pt>
                <c:pt idx="1">
                  <c:v>2456.521739130435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479808"/>
        <c:axId val="153813376"/>
      </c:barChart>
      <c:catAx>
        <c:axId val="15347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13376"/>
        <c:crosses val="autoZero"/>
        <c:auto val="1"/>
        <c:lblAlgn val="ctr"/>
        <c:lblOffset val="100"/>
        <c:noMultiLvlLbl val="0"/>
      </c:catAx>
      <c:valAx>
        <c:axId val="153813376"/>
        <c:scaling>
          <c:orientation val="minMax"/>
        </c:scaling>
        <c:delete val="0"/>
        <c:axPos val="l"/>
        <c:majorGridlines/>
        <c:numFmt formatCode="#,##0\ &quot;€&quot;" sourceLinked="1"/>
        <c:majorTickMark val="out"/>
        <c:minorTickMark val="none"/>
        <c:tickLblPos val="nextTo"/>
        <c:crossAx val="153479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Vplyvy</a:t>
            </a:r>
            <a:r>
              <a:rPr lang="en-US" sz="1400" baseline="0"/>
              <a:t> revitaliza</a:t>
            </a:r>
            <a:r>
              <a:rPr lang="sk-SK" sz="1400" baseline="0"/>
              <a:t>čných opatrení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Tabulky!$A$59</c:f>
              <c:strCache>
                <c:ptCount val="1"/>
                <c:pt idx="0">
                  <c:v>veľmi pozitívny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Tabulky!$F$59:$I$59</c:f>
              <c:numCache>
                <c:formatCode>0%</c:formatCode>
                <c:ptCount val="4"/>
                <c:pt idx="0">
                  <c:v>0.40239043824701193</c:v>
                </c:pt>
                <c:pt idx="1">
                  <c:v>0.16867469879518071</c:v>
                </c:pt>
                <c:pt idx="2">
                  <c:v>0.2151394422310757</c:v>
                </c:pt>
                <c:pt idx="3">
                  <c:v>0.18032786885245902</c:v>
                </c:pt>
              </c:numCache>
            </c:numRef>
          </c:val>
        </c:ser>
        <c:ser>
          <c:idx val="1"/>
          <c:order val="1"/>
          <c:tx>
            <c:strRef>
              <c:f>Tabulky!$A$60</c:f>
              <c:strCache>
                <c:ptCount val="1"/>
                <c:pt idx="0">
                  <c:v>malý pozitívny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Tabulky!$F$60:$I$60</c:f>
              <c:numCache>
                <c:formatCode>0%</c:formatCode>
                <c:ptCount val="4"/>
                <c:pt idx="0">
                  <c:v>0.43426294820717132</c:v>
                </c:pt>
                <c:pt idx="1">
                  <c:v>0.42570281124497994</c:v>
                </c:pt>
                <c:pt idx="2">
                  <c:v>0.39840637450199201</c:v>
                </c:pt>
                <c:pt idx="3">
                  <c:v>0.39754098360655737</c:v>
                </c:pt>
              </c:numCache>
            </c:numRef>
          </c:val>
        </c:ser>
        <c:ser>
          <c:idx val="2"/>
          <c:order val="2"/>
          <c:tx>
            <c:strRef>
              <c:f>Tabulky!$A$61</c:f>
              <c:strCache>
                <c:ptCount val="1"/>
                <c:pt idx="0">
                  <c:v>žiadny vplyv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Tabulky!$F$61:$I$61</c:f>
              <c:numCache>
                <c:formatCode>0%</c:formatCode>
                <c:ptCount val="4"/>
                <c:pt idx="0">
                  <c:v>0.11155378486055777</c:v>
                </c:pt>
                <c:pt idx="1">
                  <c:v>0.21285140562248997</c:v>
                </c:pt>
                <c:pt idx="2">
                  <c:v>0.11155378486055777</c:v>
                </c:pt>
                <c:pt idx="3">
                  <c:v>0.12704918032786885</c:v>
                </c:pt>
              </c:numCache>
            </c:numRef>
          </c:val>
        </c:ser>
        <c:ser>
          <c:idx val="3"/>
          <c:order val="3"/>
          <c:tx>
            <c:strRef>
              <c:f>Tabulky!$A$62</c:f>
              <c:strCache>
                <c:ptCount val="1"/>
                <c:pt idx="0">
                  <c:v>malý negatívny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Tabulky!$F$62:$I$62</c:f>
              <c:numCache>
                <c:formatCode>0%</c:formatCode>
                <c:ptCount val="4"/>
                <c:pt idx="0">
                  <c:v>3.9840637450199202E-3</c:v>
                </c:pt>
                <c:pt idx="1">
                  <c:v>4.0160642570281121E-3</c:v>
                </c:pt>
                <c:pt idx="2">
                  <c:v>3.9840637450199202E-3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Tabulky!$A$63</c:f>
              <c:strCache>
                <c:ptCount val="1"/>
                <c:pt idx="0">
                  <c:v>veľmi negatívny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elete val="1"/>
          </c:dLbls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Tabulky!$F$63:$I$63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3.9840637450199202E-3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Tabulky!$A$64</c:f>
              <c:strCache>
                <c:ptCount val="1"/>
                <c:pt idx="0">
                  <c:v>neviem sa vyjadriť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Tabulky!$F$58:$I$58</c:f>
              <c:strCache>
                <c:ptCount val="4"/>
                <c:pt idx="0">
                  <c:v>Na riešenie nezamestnanosti</c:v>
                </c:pt>
                <c:pt idx="1">
                  <c:v>Na ekonomický rozvoj obce/mesta</c:v>
                </c:pt>
                <c:pt idx="2">
                  <c:v>Na zásoby podzemnej vody a pôdnej vlhkosti počas suchých období</c:v>
                </c:pt>
                <c:pt idx="3">
                  <c:v>Na rastliny a divú zver (ich množstvo a rozmanitosť)</c:v>
                </c:pt>
              </c:strCache>
            </c:strRef>
          </c:cat>
          <c:val>
            <c:numRef>
              <c:f>Tabulky!$F$64:$I$64</c:f>
              <c:numCache>
                <c:formatCode>0%</c:formatCode>
                <c:ptCount val="4"/>
                <c:pt idx="0">
                  <c:v>4.7808764940239043E-2</c:v>
                </c:pt>
                <c:pt idx="1">
                  <c:v>0.18875502008032127</c:v>
                </c:pt>
                <c:pt idx="2">
                  <c:v>0.26693227091633465</c:v>
                </c:pt>
                <c:pt idx="3">
                  <c:v>0.29508196721311475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3843968"/>
        <c:axId val="153849856"/>
      </c:barChart>
      <c:catAx>
        <c:axId val="153843968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sk-SK"/>
          </a:p>
        </c:txPr>
        <c:crossAx val="153849856"/>
        <c:crosses val="autoZero"/>
        <c:auto val="1"/>
        <c:lblAlgn val="ctr"/>
        <c:lblOffset val="100"/>
        <c:noMultiLvlLbl val="0"/>
      </c:catAx>
      <c:valAx>
        <c:axId val="153849856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crossAx val="153843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sk-SK" sz="1400"/>
              <a:t>Koľko opatrení bude ešte</a:t>
            </a:r>
            <a:r>
              <a:rPr lang="sk-SK" sz="1400" baseline="0"/>
              <a:t> treba dobudovať?</a:t>
            </a:r>
            <a:endParaRPr lang="sk-SK" sz="14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cat>
            <c:strRef>
              <c:f>Tabulky!$A$69:$A$74</c:f>
              <c:strCache>
                <c:ptCount val="6"/>
                <c:pt idx="0">
                  <c:v>už nepotrebujeme budovať</c:v>
                </c:pt>
                <c:pt idx="1">
                  <c:v>2krát toľko</c:v>
                </c:pt>
                <c:pt idx="2">
                  <c:v>3krát toľko</c:v>
                </c:pt>
                <c:pt idx="3">
                  <c:v>4krát toľko</c:v>
                </c:pt>
                <c:pt idx="4">
                  <c:v>viac ako 5krát toľko</c:v>
                </c:pt>
                <c:pt idx="5">
                  <c:v>neviem sa vyjadriť</c:v>
                </c:pt>
              </c:strCache>
            </c:strRef>
          </c:cat>
          <c:val>
            <c:numRef>
              <c:f>Tabulky!$C$69:$C$74</c:f>
              <c:numCache>
                <c:formatCode>0%</c:formatCode>
                <c:ptCount val="6"/>
                <c:pt idx="0">
                  <c:v>4.7808764940239043E-2</c:v>
                </c:pt>
                <c:pt idx="1">
                  <c:v>0.46613545816733065</c:v>
                </c:pt>
                <c:pt idx="2">
                  <c:v>0.11155378486055777</c:v>
                </c:pt>
                <c:pt idx="3">
                  <c:v>5.5776892430278883E-2</c:v>
                </c:pt>
                <c:pt idx="4">
                  <c:v>0.11155378486055777</c:v>
                </c:pt>
                <c:pt idx="5">
                  <c:v>0.20717131474103587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869312"/>
        <c:axId val="153879296"/>
      </c:barChart>
      <c:catAx>
        <c:axId val="15386931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sk-SK"/>
          </a:p>
        </c:txPr>
        <c:crossAx val="153879296"/>
        <c:crosses val="autoZero"/>
        <c:auto val="1"/>
        <c:lblAlgn val="ctr"/>
        <c:lblOffset val="100"/>
        <c:noMultiLvlLbl val="0"/>
      </c:catAx>
      <c:valAx>
        <c:axId val="153879296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crossAx val="15386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Ako </a:t>
            </a:r>
            <a:r>
              <a:rPr lang="sk-SK" sz="1400"/>
              <a:t>často</a:t>
            </a:r>
            <a:r>
              <a:rPr lang="sk-SK" sz="1400" baseline="0"/>
              <a:t> je vykonávaná údržba revitalizačných opatrení?</a:t>
            </a:r>
            <a:endParaRPr lang="sk-SK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-6.3256780402449692E-3"/>
                  <c:y val="2.87335958005249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Tabulky!$A$98:$A$102</c:f>
              <c:strCache>
                <c:ptCount val="5"/>
                <c:pt idx="0">
                  <c:v>aspoň raz mesačne</c:v>
                </c:pt>
                <c:pt idx="1">
                  <c:v>pravidelne</c:v>
                </c:pt>
                <c:pt idx="2">
                  <c:v>občas</c:v>
                </c:pt>
                <c:pt idx="3">
                  <c:v>len keď je nutné</c:v>
                </c:pt>
                <c:pt idx="4">
                  <c:v>vôbec nie</c:v>
                </c:pt>
              </c:strCache>
            </c:strRef>
          </c:cat>
          <c:val>
            <c:numRef>
              <c:f>Tabulky!$C$98:$C$102</c:f>
              <c:numCache>
                <c:formatCode>0%</c:formatCode>
                <c:ptCount val="5"/>
                <c:pt idx="0">
                  <c:v>2.4096385542168676E-2</c:v>
                </c:pt>
                <c:pt idx="1">
                  <c:v>0.25301204819277107</c:v>
                </c:pt>
                <c:pt idx="2">
                  <c:v>0.22088353413654618</c:v>
                </c:pt>
                <c:pt idx="3">
                  <c:v>0.43775100401606426</c:v>
                </c:pt>
                <c:pt idx="4">
                  <c:v>6.0240963855421686E-2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sk-SK" sz="1400"/>
              <a:t>Vybudovali ste ďalšie</a:t>
            </a:r>
            <a:r>
              <a:rPr lang="sk-SK" sz="1400" baseline="0"/>
              <a:t> opatrenia?</a:t>
            </a:r>
            <a:endParaRPr lang="sk-SK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Tabulky!$A$79:$A$81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 sa vyjadriť</c:v>
                </c:pt>
              </c:strCache>
            </c:strRef>
          </c:cat>
          <c:val>
            <c:numRef>
              <c:f>Tabulky!$C$79:$C$81</c:f>
              <c:numCache>
                <c:formatCode>0%</c:formatCode>
                <c:ptCount val="3"/>
                <c:pt idx="0">
                  <c:v>0.34285714285714286</c:v>
                </c:pt>
                <c:pt idx="1">
                  <c:v>0.59591836734693882</c:v>
                </c:pt>
                <c:pt idx="2">
                  <c:v>6.1224489795918366E-2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 sz="1400"/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6889-1210-4282-8BD4-BACD318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vaio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Martin Kovac</cp:lastModifiedBy>
  <cp:revision>2</cp:revision>
  <cp:lastPrinted>2014-03-21T09:29:00Z</cp:lastPrinted>
  <dcterms:created xsi:type="dcterms:W3CDTF">2014-04-04T11:30:00Z</dcterms:created>
  <dcterms:modified xsi:type="dcterms:W3CDTF">2014-04-04T11:30:00Z</dcterms:modified>
</cp:coreProperties>
</file>